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5EB52" w14:textId="4E8D9976"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eastAsia="en-US"/>
        </w:rPr>
        <mc:AlternateContent>
          <mc:Choice Requires="wps">
            <w:drawing>
              <wp:anchor distT="0" distB="0" distL="114300" distR="114300" simplePos="0" relativeHeight="251659264" behindDoc="0" locked="1" layoutInCell="1" allowOverlap="1" wp14:anchorId="438D7215" wp14:editId="245E71F0">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0D53F"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 xml:space="preserve">3GPP TSG-RAN </w:t>
      </w:r>
      <w:r w:rsidR="00CC2BD0">
        <w:rPr>
          <w:rFonts w:eastAsia="Dotum"/>
          <w:b/>
          <w:bCs/>
          <w:noProof/>
          <w:sz w:val="24"/>
          <w:szCs w:val="18"/>
        </w:rPr>
        <w:t xml:space="preserve">WG2 </w:t>
      </w:r>
      <w:r w:rsidR="008B4E85">
        <w:rPr>
          <w:rFonts w:eastAsia="Dotum"/>
          <w:b/>
          <w:bCs/>
          <w:noProof/>
          <w:sz w:val="24"/>
          <w:szCs w:val="18"/>
        </w:rPr>
        <w:t>Meeting #</w:t>
      </w:r>
      <w:r w:rsidR="00842051">
        <w:rPr>
          <w:rFonts w:eastAsia="Dotum"/>
          <w:b/>
          <w:bCs/>
          <w:noProof/>
          <w:sz w:val="24"/>
          <w:szCs w:val="18"/>
        </w:rPr>
        <w:t>124</w:t>
      </w:r>
      <w:r w:rsidRPr="007126F6">
        <w:rPr>
          <w:rFonts w:eastAsia="Dotum"/>
          <w:b/>
          <w:bCs/>
          <w:noProof/>
          <w:sz w:val="24"/>
          <w:szCs w:val="18"/>
        </w:rPr>
        <w:tab/>
      </w:r>
      <w:r w:rsidR="003528D5" w:rsidRPr="003528D5">
        <w:rPr>
          <w:rFonts w:eastAsia="Dotum"/>
          <w:b/>
          <w:bCs/>
          <w:noProof/>
          <w:sz w:val="24"/>
          <w:szCs w:val="18"/>
        </w:rPr>
        <w:t>R2-2311825</w:t>
      </w:r>
    </w:p>
    <w:p w14:paraId="741162DB" w14:textId="51FAB0B6" w:rsidR="0097006C" w:rsidRDefault="00842051" w:rsidP="005201CD">
      <w:pPr>
        <w:widowControl w:val="0"/>
        <w:tabs>
          <w:tab w:val="right" w:pos="9630"/>
        </w:tabs>
        <w:spacing w:after="0"/>
        <w:jc w:val="left"/>
        <w:rPr>
          <w:rFonts w:eastAsia="Dotum"/>
          <w:b/>
          <w:bCs/>
          <w:noProof/>
          <w:sz w:val="24"/>
          <w:szCs w:val="18"/>
        </w:rPr>
      </w:pPr>
      <w:r>
        <w:rPr>
          <w:rFonts w:eastAsia="Dotum"/>
          <w:b/>
          <w:bCs/>
          <w:noProof/>
          <w:sz w:val="24"/>
          <w:szCs w:val="18"/>
          <w:lang w:eastAsia="fr-FR"/>
        </w:rPr>
        <w:t>Chicago</w:t>
      </w:r>
      <w:r w:rsidR="002B3356" w:rsidRPr="002B3356">
        <w:rPr>
          <w:rFonts w:eastAsia="Dotum"/>
          <w:b/>
          <w:bCs/>
          <w:noProof/>
          <w:sz w:val="24"/>
          <w:szCs w:val="18"/>
          <w:lang w:eastAsia="fr-FR"/>
        </w:rPr>
        <w:t xml:space="preserve">, </w:t>
      </w:r>
      <w:r>
        <w:rPr>
          <w:rFonts w:eastAsia="Dotum"/>
          <w:b/>
          <w:bCs/>
          <w:noProof/>
          <w:sz w:val="24"/>
          <w:szCs w:val="18"/>
          <w:lang w:eastAsia="fr-FR"/>
        </w:rPr>
        <w:t>US</w:t>
      </w:r>
      <w:r w:rsidR="002B3356" w:rsidRPr="002B3356">
        <w:rPr>
          <w:rFonts w:eastAsia="Dotum"/>
          <w:b/>
          <w:bCs/>
          <w:noProof/>
          <w:sz w:val="24"/>
          <w:szCs w:val="18"/>
          <w:lang w:eastAsia="fr-FR"/>
        </w:rPr>
        <w:t xml:space="preserve">, </w:t>
      </w:r>
      <w:r>
        <w:rPr>
          <w:rFonts w:eastAsia="Dotum"/>
          <w:b/>
          <w:bCs/>
          <w:noProof/>
          <w:sz w:val="24"/>
          <w:szCs w:val="18"/>
          <w:lang w:eastAsia="fr-FR"/>
        </w:rPr>
        <w:t>13</w:t>
      </w:r>
      <w:r w:rsidRPr="002B3356">
        <w:rPr>
          <w:rFonts w:eastAsia="Dotum"/>
          <w:b/>
          <w:bCs/>
          <w:noProof/>
          <w:sz w:val="24"/>
          <w:szCs w:val="18"/>
          <w:lang w:eastAsia="fr-FR"/>
        </w:rPr>
        <w:t xml:space="preserve"> </w:t>
      </w:r>
      <w:r w:rsidR="002B3356" w:rsidRPr="002B3356">
        <w:rPr>
          <w:rFonts w:eastAsia="Dotum"/>
          <w:b/>
          <w:bCs/>
          <w:noProof/>
          <w:sz w:val="24"/>
          <w:szCs w:val="18"/>
          <w:lang w:eastAsia="fr-FR"/>
        </w:rPr>
        <w:t>– 1</w:t>
      </w:r>
      <w:r>
        <w:rPr>
          <w:rFonts w:eastAsia="Dotum"/>
          <w:b/>
          <w:bCs/>
          <w:noProof/>
          <w:sz w:val="24"/>
          <w:szCs w:val="18"/>
          <w:lang w:eastAsia="fr-FR"/>
        </w:rPr>
        <w:t>7</w:t>
      </w:r>
      <w:r w:rsidR="002B3356" w:rsidRPr="002B3356">
        <w:rPr>
          <w:rFonts w:eastAsia="Dotum"/>
          <w:b/>
          <w:bCs/>
          <w:noProof/>
          <w:sz w:val="24"/>
          <w:szCs w:val="18"/>
          <w:lang w:eastAsia="fr-FR"/>
        </w:rPr>
        <w:t xml:space="preserve"> </w:t>
      </w:r>
      <w:r>
        <w:rPr>
          <w:rFonts w:eastAsia="Dotum"/>
          <w:b/>
          <w:bCs/>
          <w:noProof/>
          <w:sz w:val="24"/>
          <w:szCs w:val="18"/>
          <w:lang w:eastAsia="fr-FR"/>
        </w:rPr>
        <w:t>November</w:t>
      </w:r>
      <w:r w:rsidR="002B3356" w:rsidRPr="002B3356">
        <w:rPr>
          <w:rFonts w:eastAsia="Dotum"/>
          <w:b/>
          <w:bCs/>
          <w:noProof/>
          <w:sz w:val="24"/>
          <w:szCs w:val="18"/>
          <w:lang w:eastAsia="fr-FR"/>
        </w:rPr>
        <w:t>, 2023</w:t>
      </w:r>
      <w:r w:rsidR="005201CD">
        <w:rPr>
          <w:sz w:val="24"/>
        </w:rPr>
        <w:tab/>
      </w:r>
    </w:p>
    <w:p w14:paraId="5A0A62FE" w14:textId="77777777" w:rsidR="005201CD" w:rsidRPr="005201CD" w:rsidRDefault="005201CD" w:rsidP="005201CD">
      <w:pPr>
        <w:widowControl w:val="0"/>
        <w:tabs>
          <w:tab w:val="right" w:pos="9630"/>
        </w:tabs>
        <w:spacing w:after="0"/>
        <w:jc w:val="left"/>
        <w:rPr>
          <w:rFonts w:eastAsia="Dotum"/>
          <w:b/>
          <w:bCs/>
          <w:noProof/>
          <w:sz w:val="24"/>
          <w:szCs w:val="18"/>
        </w:rPr>
      </w:pPr>
    </w:p>
    <w:p w14:paraId="14FFE5A0" w14:textId="1367598C" w:rsidR="002B3356" w:rsidRPr="002B3356" w:rsidRDefault="006E3FA2" w:rsidP="006E3FA2">
      <w:pPr>
        <w:pStyle w:val="3GPPHeader"/>
        <w:tabs>
          <w:tab w:val="clear" w:pos="1701"/>
          <w:tab w:val="clear" w:pos="9639"/>
          <w:tab w:val="left" w:pos="1843"/>
        </w:tabs>
        <w:spacing w:after="180"/>
        <w:rPr>
          <w:b w:val="0"/>
        </w:rPr>
      </w:pPr>
      <w:r>
        <w:t>Agenda Item:</w:t>
      </w:r>
      <w:r>
        <w:tab/>
      </w:r>
      <w:r w:rsidR="00C815E5" w:rsidRPr="00744FE0">
        <w:rPr>
          <w:b w:val="0"/>
        </w:rPr>
        <w:t>7</w:t>
      </w:r>
      <w:r w:rsidR="00073FEF" w:rsidRPr="00744FE0">
        <w:rPr>
          <w:b w:val="0"/>
        </w:rPr>
        <w:t>.</w:t>
      </w:r>
      <w:r w:rsidR="00744FE0">
        <w:rPr>
          <w:b w:val="0"/>
        </w:rPr>
        <w:t>5.4.</w:t>
      </w:r>
      <w:r w:rsidR="002B3356">
        <w:rPr>
          <w:b w:val="0"/>
        </w:rPr>
        <w:t>1</w:t>
      </w:r>
    </w:p>
    <w:p w14:paraId="08E67A84" w14:textId="77777777"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0CF6DA78" w14:textId="56FB98DB"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0F7A3B" w:rsidRPr="000D064B">
        <w:rPr>
          <w:rFonts w:cs="SimHei"/>
          <w:bCs/>
          <w:sz w:val="22"/>
        </w:rPr>
        <w:t xml:space="preserve">Discussion </w:t>
      </w:r>
      <w:r w:rsidR="002B3356">
        <w:rPr>
          <w:rFonts w:cs="SimHei"/>
          <w:bCs/>
          <w:sz w:val="22"/>
        </w:rPr>
        <w:t xml:space="preserve">on </w:t>
      </w:r>
      <w:r w:rsidR="002B3356" w:rsidRPr="002B3356">
        <w:rPr>
          <w:rFonts w:cs="SimHei"/>
          <w:bCs/>
          <w:sz w:val="22"/>
        </w:rPr>
        <w:t>Delay status report</w:t>
      </w:r>
      <w:r w:rsidR="000F7A3B" w:rsidRPr="000D064B">
        <w:rPr>
          <w:rFonts w:cs="SimHei"/>
          <w:bCs/>
          <w:sz w:val="22"/>
        </w:rPr>
        <w:t xml:space="preserve"> </w:t>
      </w:r>
    </w:p>
    <w:p w14:paraId="7527F021" w14:textId="6E6D28F6"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r w:rsidR="002B3356">
        <w:rPr>
          <w:b w:val="0"/>
          <w:sz w:val="22"/>
        </w:rPr>
        <w:t xml:space="preserve"> and decision</w:t>
      </w:r>
    </w:p>
    <w:p w14:paraId="18340738" w14:textId="77777777" w:rsidR="00652667" w:rsidRPr="00BC4D0B" w:rsidRDefault="00652667" w:rsidP="0072451D">
      <w:pPr>
        <w:pStyle w:val="Heading1"/>
      </w:pPr>
      <w:r w:rsidRPr="0072451D">
        <w:rPr>
          <w:lang w:val="en-US"/>
        </w:rPr>
        <w:t>Introduction</w:t>
      </w:r>
      <w:bookmarkStart w:id="0" w:name="_Ref174151459"/>
      <w:bookmarkStart w:id="1" w:name="_Ref189809556"/>
    </w:p>
    <w:p w14:paraId="76EA02C5" w14:textId="77777777" w:rsidR="002B3356" w:rsidRDefault="002B3356" w:rsidP="002B3356">
      <w:pPr>
        <w:rPr>
          <w:lang w:val="en-GB"/>
        </w:rPr>
      </w:pPr>
      <w:bookmarkStart w:id="2" w:name="OLE_LINK1"/>
      <w:bookmarkStart w:id="3" w:name="OLE_LINK2"/>
      <w:r w:rsidRPr="00032AB7">
        <w:rPr>
          <w:lang w:val="en-GB"/>
        </w:rPr>
        <w:t xml:space="preserve">During </w:t>
      </w:r>
      <w:r>
        <w:rPr>
          <w:lang w:val="en-GB"/>
        </w:rPr>
        <w:t xml:space="preserve">RAN2#122 in Seoul the following agreements were recorded in </w:t>
      </w:r>
      <w:r>
        <w:rPr>
          <w:lang w:val="en-GB"/>
        </w:rPr>
        <w:fldChar w:fldCharType="begin"/>
      </w:r>
      <w:r>
        <w:rPr>
          <w:lang w:val="en-GB"/>
        </w:rPr>
        <w:instrText xml:space="preserve"> REF _Ref145926761 \r \h </w:instrText>
      </w:r>
      <w:r>
        <w:rPr>
          <w:lang w:val="en-GB"/>
        </w:rPr>
      </w:r>
      <w:r>
        <w:rPr>
          <w:lang w:val="en-GB"/>
        </w:rPr>
        <w:fldChar w:fldCharType="separate"/>
      </w:r>
      <w:r>
        <w:rPr>
          <w:lang w:val="en-GB"/>
        </w:rPr>
        <w:t>[1]</w:t>
      </w:r>
      <w:r>
        <w:rPr>
          <w:lang w:val="en-GB"/>
        </w:rPr>
        <w:fldChar w:fldCharType="end"/>
      </w:r>
      <w:r>
        <w:rPr>
          <w:lang w:val="en-GB"/>
        </w:rPr>
        <w:t xml:space="preserve"> (the number of reported values was left for further study):</w:t>
      </w:r>
    </w:p>
    <w:tbl>
      <w:tblPr>
        <w:tblStyle w:val="TableGrid"/>
        <w:tblW w:w="0" w:type="auto"/>
        <w:tblLook w:val="04A0" w:firstRow="1" w:lastRow="0" w:firstColumn="1" w:lastColumn="0" w:noHBand="0" w:noVBand="1"/>
      </w:tblPr>
      <w:tblGrid>
        <w:gridCol w:w="8296"/>
      </w:tblGrid>
      <w:tr w:rsidR="002B3356" w14:paraId="6EFBEAD8" w14:textId="77777777" w:rsidTr="00C411A6">
        <w:tc>
          <w:tcPr>
            <w:tcW w:w="8296" w:type="dxa"/>
          </w:tcPr>
          <w:p w14:paraId="0A79277F" w14:textId="77777777" w:rsidR="002B3356" w:rsidRPr="00532471" w:rsidRDefault="002B3356" w:rsidP="002B3356">
            <w:pPr>
              <w:pStyle w:val="Agreement"/>
              <w:tabs>
                <w:tab w:val="clear" w:pos="517"/>
                <w:tab w:val="num" w:pos="1619"/>
              </w:tabs>
              <w:ind w:left="1619"/>
              <w:rPr>
                <w:lang w:val="en-US"/>
              </w:rPr>
            </w:pPr>
            <w:r w:rsidRPr="00E30090">
              <w:rPr>
                <w:highlight w:val="yellow"/>
                <w:lang w:val="en-US"/>
              </w:rPr>
              <w:t>1:</w:t>
            </w:r>
            <w:r>
              <w:rPr>
                <w:highlight w:val="yellow"/>
                <w:lang w:val="en-US"/>
              </w:rPr>
              <w:t xml:space="preserve"> </w:t>
            </w:r>
            <w:r w:rsidRPr="009941AA">
              <w:rPr>
                <w:highlight w:val="yellow"/>
                <w:lang w:val="en-US"/>
              </w:rPr>
              <w:t xml:space="preserve">UE calculates the remaining time </w:t>
            </w:r>
            <w:r>
              <w:rPr>
                <w:highlight w:val="yellow"/>
                <w:lang w:val="en-US"/>
              </w:rPr>
              <w:t xml:space="preserve">based on the </w:t>
            </w:r>
            <w:r w:rsidRPr="009941AA">
              <w:rPr>
                <w:highlight w:val="yellow"/>
                <w:lang w:val="en-US"/>
              </w:rPr>
              <w:t>PDCP discard timer value</w:t>
            </w:r>
            <w:r>
              <w:rPr>
                <w:lang w:val="en-US"/>
              </w:rPr>
              <w:t xml:space="preserve">. </w:t>
            </w:r>
            <w:bookmarkStart w:id="4" w:name="_Hlk145925567"/>
            <w:r w:rsidRPr="00E30090">
              <w:rPr>
                <w:highlight w:val="yellow"/>
                <w:lang w:val="en-US"/>
              </w:rPr>
              <w:t>FFS if UE reports one or multiple values</w:t>
            </w:r>
            <w:bookmarkEnd w:id="4"/>
            <w:r w:rsidRPr="00883BC0">
              <w:rPr>
                <w:highlight w:val="yellow"/>
                <w:lang w:val="en-US"/>
              </w:rPr>
              <w:t>. FFS how this is modelled in PDCP specification.</w:t>
            </w:r>
            <w:r>
              <w:rPr>
                <w:lang w:val="en-US"/>
              </w:rPr>
              <w:t xml:space="preserve"> </w:t>
            </w:r>
            <w:r w:rsidRPr="00532471">
              <w:rPr>
                <w:lang w:val="en-US"/>
              </w:rPr>
              <w:t>FFS which UEs support this.</w:t>
            </w:r>
          </w:p>
          <w:p w14:paraId="64ECE436" w14:textId="77777777" w:rsidR="002B3356" w:rsidRPr="00032AB7" w:rsidRDefault="002B3356" w:rsidP="002B3356">
            <w:pPr>
              <w:pStyle w:val="Agreement"/>
              <w:tabs>
                <w:tab w:val="clear" w:pos="517"/>
                <w:tab w:val="num" w:pos="1619"/>
              </w:tabs>
              <w:ind w:left="1619"/>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FFS if intra-UE prioritization can impact this.</w:t>
            </w:r>
          </w:p>
        </w:tc>
      </w:tr>
    </w:tbl>
    <w:p w14:paraId="516D4AA4" w14:textId="77777777" w:rsidR="002B3356" w:rsidRDefault="002B3356" w:rsidP="002B3356">
      <w:pPr>
        <w:rPr>
          <w:lang w:val="en-GB"/>
        </w:rPr>
      </w:pPr>
      <w:r>
        <w:rPr>
          <w:lang w:val="en-GB"/>
        </w:rPr>
        <w:t xml:space="preserve">Then after more discussions during RAN2#123 in Toulouse the following agreements were recorded in </w:t>
      </w:r>
      <w:r>
        <w:rPr>
          <w:lang w:val="en-GB"/>
        </w:rPr>
        <w:fldChar w:fldCharType="begin"/>
      </w:r>
      <w:r>
        <w:rPr>
          <w:lang w:val="en-GB"/>
        </w:rPr>
        <w:instrText xml:space="preserve"> REF _Ref145926769 \r \h </w:instrText>
      </w:r>
      <w:r>
        <w:rPr>
          <w:lang w:val="en-GB"/>
        </w:rPr>
      </w:r>
      <w:r>
        <w:rPr>
          <w:lang w:val="en-GB"/>
        </w:rPr>
        <w:fldChar w:fldCharType="separate"/>
      </w:r>
      <w:r>
        <w:rPr>
          <w:lang w:val="en-GB"/>
        </w:rPr>
        <w:t>[2]</w:t>
      </w:r>
      <w:r>
        <w:rPr>
          <w:lang w:val="en-GB"/>
        </w:rPr>
        <w:fldChar w:fldCharType="end"/>
      </w:r>
      <w:r>
        <w:rPr>
          <w:lang w:val="en-GB"/>
        </w:rPr>
        <w:t>:</w:t>
      </w:r>
    </w:p>
    <w:tbl>
      <w:tblPr>
        <w:tblStyle w:val="TableGrid"/>
        <w:tblW w:w="0" w:type="auto"/>
        <w:tblLook w:val="04A0" w:firstRow="1" w:lastRow="0" w:firstColumn="1" w:lastColumn="0" w:noHBand="0" w:noVBand="1"/>
      </w:tblPr>
      <w:tblGrid>
        <w:gridCol w:w="8296"/>
      </w:tblGrid>
      <w:tr w:rsidR="002B3356" w14:paraId="54B4C51D" w14:textId="77777777" w:rsidTr="00C411A6">
        <w:tc>
          <w:tcPr>
            <w:tcW w:w="8296" w:type="dxa"/>
          </w:tcPr>
          <w:p w14:paraId="68D55E40" w14:textId="77777777" w:rsidR="002B3356" w:rsidRDefault="002B3356" w:rsidP="00C411A6">
            <w:pPr>
              <w:rPr>
                <w:lang w:val="en-GB"/>
              </w:rPr>
            </w:pPr>
          </w:p>
          <w:p w14:paraId="5C8DB3EF" w14:textId="77777777" w:rsidR="002B3356" w:rsidRPr="002643CA" w:rsidRDefault="002B3356" w:rsidP="002B3356">
            <w:pPr>
              <w:pStyle w:val="Agreement"/>
              <w:tabs>
                <w:tab w:val="clear" w:pos="517"/>
                <w:tab w:val="num" w:pos="1619"/>
              </w:tabs>
              <w:ind w:left="1619"/>
            </w:pPr>
            <w:r w:rsidRPr="002643CA">
              <w:t xml:space="preserve">Working assumption: Define a new separate MAC CE for DSR (remaining delay and associated data volume) reporting, </w:t>
            </w:r>
            <w:proofErr w:type="gramStart"/>
            <w:r w:rsidRPr="002643CA">
              <w:t>e.g.</w:t>
            </w:r>
            <w:proofErr w:type="gramEnd"/>
            <w:r w:rsidRPr="002643CA">
              <w:t xml:space="preserve"> DSR reporting is not coupled with BSR reporting. Detailed Definition of associated data volume is FFS. </w:t>
            </w:r>
          </w:p>
          <w:p w14:paraId="433CCD3D" w14:textId="77777777" w:rsidR="002B3356" w:rsidRPr="002643CA" w:rsidRDefault="002B3356" w:rsidP="002B3356">
            <w:pPr>
              <w:pStyle w:val="Agreement"/>
              <w:tabs>
                <w:tab w:val="clear" w:pos="517"/>
                <w:tab w:val="num" w:pos="1619"/>
              </w:tabs>
              <w:ind w:left="1619"/>
            </w:pPr>
            <w:r w:rsidRPr="002643CA">
              <w:t xml:space="preserve">Support threshold based DSR reporting, </w:t>
            </w:r>
            <w:proofErr w:type="gramStart"/>
            <w:r w:rsidRPr="002643CA">
              <w:t>e.g.</w:t>
            </w:r>
            <w:proofErr w:type="gramEnd"/>
            <w:r w:rsidRPr="002643CA">
              <w:t xml:space="preserve"> DSR reporting is triggered when remaining delay of a PDU/PDU set is below a NW configured threshold. The threshold is configured per LCG. FFS whether configuring multiple thresholds for a LCG is supported. Definition of remaining time is FFS.</w:t>
            </w:r>
          </w:p>
          <w:p w14:paraId="0E9A68D7" w14:textId="77777777" w:rsidR="002B3356" w:rsidRDefault="002B3356" w:rsidP="00C411A6">
            <w:pPr>
              <w:rPr>
                <w:lang w:val="en-GB"/>
              </w:rPr>
            </w:pPr>
          </w:p>
        </w:tc>
      </w:tr>
    </w:tbl>
    <w:p w14:paraId="2BEED7E7" w14:textId="38361C3A" w:rsidR="00842051" w:rsidRDefault="00842051" w:rsidP="002B3356">
      <w:pPr>
        <w:rPr>
          <w:lang w:val="en-GB"/>
        </w:rPr>
      </w:pPr>
      <w:r w:rsidRPr="00842051">
        <w:rPr>
          <w:lang w:val="en-GB"/>
        </w:rPr>
        <w:t>In RAN2#123Bis [13] it was agreed that:</w:t>
      </w:r>
    </w:p>
    <w:p w14:paraId="70FAD99F" w14:textId="77777777" w:rsidR="00057392" w:rsidRPr="008C437E" w:rsidRDefault="00057392" w:rsidP="00057392">
      <w:pPr>
        <w:pStyle w:val="Doc-text2"/>
        <w:pBdr>
          <w:top w:val="single" w:sz="4" w:space="1" w:color="auto"/>
          <w:left w:val="single" w:sz="4" w:space="4" w:color="auto"/>
          <w:bottom w:val="single" w:sz="4" w:space="1" w:color="auto"/>
          <w:right w:val="single" w:sz="4" w:space="4" w:color="auto"/>
        </w:pBdr>
        <w:rPr>
          <w:b/>
          <w:bCs/>
        </w:rPr>
      </w:pPr>
      <w:r w:rsidRPr="008C437E">
        <w:rPr>
          <w:b/>
          <w:bCs/>
        </w:rPr>
        <w:t xml:space="preserve">Agreements on DSR </w:t>
      </w:r>
    </w:p>
    <w:p w14:paraId="627BA105" w14:textId="77777777" w:rsidR="00057392" w:rsidRDefault="00057392" w:rsidP="00057392">
      <w:pPr>
        <w:pStyle w:val="Doc-text2"/>
        <w:numPr>
          <w:ilvl w:val="0"/>
          <w:numId w:val="43"/>
        </w:numPr>
        <w:pBdr>
          <w:top w:val="single" w:sz="4" w:space="1" w:color="auto"/>
          <w:left w:val="single" w:sz="4" w:space="4" w:color="auto"/>
          <w:bottom w:val="single" w:sz="4" w:space="1" w:color="auto"/>
          <w:right w:val="single" w:sz="4" w:space="4" w:color="auto"/>
        </w:pBdr>
      </w:pPr>
      <w:r>
        <w:t xml:space="preserve">For triggering DSR, the </w:t>
      </w:r>
      <w:r w:rsidRPr="009C04E2">
        <w:t>shortest remaining-time left for the buffered data in UL</w:t>
      </w:r>
      <w:r>
        <w:t xml:space="preserve"> is smaller than a configured threshold is used, if there is no pending DSR associated for that LCG.  </w:t>
      </w:r>
    </w:p>
    <w:p w14:paraId="3BDD2B30" w14:textId="77777777" w:rsidR="00057392" w:rsidRDefault="00057392" w:rsidP="00057392">
      <w:pPr>
        <w:pStyle w:val="Doc-text2"/>
        <w:numPr>
          <w:ilvl w:val="0"/>
          <w:numId w:val="43"/>
        </w:numPr>
        <w:pBdr>
          <w:top w:val="single" w:sz="4" w:space="1" w:color="auto"/>
          <w:left w:val="single" w:sz="4" w:space="4" w:color="auto"/>
          <w:bottom w:val="single" w:sz="4" w:space="1" w:color="auto"/>
          <w:right w:val="single" w:sz="4" w:space="4" w:color="auto"/>
        </w:pBdr>
      </w:pPr>
      <w:r>
        <w:t>O</w:t>
      </w:r>
      <w:r w:rsidRPr="009C04E2">
        <w:t>ne threshold per LCG</w:t>
      </w:r>
      <w:r>
        <w:t xml:space="preserve"> for triggering purposes</w:t>
      </w:r>
      <w:r w:rsidRPr="009C04E2">
        <w:t xml:space="preserve"> is enough for delay status report</w:t>
      </w:r>
    </w:p>
    <w:p w14:paraId="2ECE9945" w14:textId="77777777" w:rsidR="00057392" w:rsidRDefault="00057392" w:rsidP="00057392">
      <w:pPr>
        <w:pStyle w:val="Doc-text2"/>
        <w:numPr>
          <w:ilvl w:val="0"/>
          <w:numId w:val="43"/>
        </w:numPr>
        <w:pBdr>
          <w:top w:val="single" w:sz="4" w:space="1" w:color="auto"/>
          <w:left w:val="single" w:sz="4" w:space="4" w:color="auto"/>
          <w:bottom w:val="single" w:sz="4" w:space="1" w:color="auto"/>
          <w:right w:val="single" w:sz="4" w:space="4" w:color="auto"/>
        </w:pBdr>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46DAB4D2" w14:textId="77777777" w:rsidR="00057392" w:rsidRDefault="00057392" w:rsidP="00057392">
      <w:pPr>
        <w:pStyle w:val="Doc-text2"/>
        <w:numPr>
          <w:ilvl w:val="0"/>
          <w:numId w:val="43"/>
        </w:numPr>
        <w:pBdr>
          <w:top w:val="single" w:sz="4" w:space="1" w:color="auto"/>
          <w:left w:val="single" w:sz="4" w:space="4" w:color="auto"/>
          <w:bottom w:val="single" w:sz="4" w:space="1" w:color="auto"/>
          <w:right w:val="single" w:sz="4" w:space="4" w:color="auto"/>
        </w:pBdr>
      </w:pPr>
      <w:r w:rsidRPr="00EC78EC">
        <w:t>Support single delay information per LCG as baseline for Rel-18 DSR</w:t>
      </w:r>
      <w:r>
        <w:t>.  The remaining time (the shortest remaining time in the LCG) will be explicitly reported in the DSR.</w:t>
      </w:r>
    </w:p>
    <w:p w14:paraId="4F57C470" w14:textId="77777777" w:rsidR="00057392" w:rsidRPr="009C04E2" w:rsidRDefault="00057392" w:rsidP="00057392">
      <w:pPr>
        <w:pStyle w:val="Doc-text2"/>
      </w:pPr>
    </w:p>
    <w:p w14:paraId="0EE5A3E2" w14:textId="77777777" w:rsidR="00842051" w:rsidRDefault="00842051" w:rsidP="002B3356">
      <w:pPr>
        <w:rPr>
          <w:lang w:val="en-GB"/>
        </w:rPr>
      </w:pPr>
    </w:p>
    <w:p w14:paraId="6F5DA17A" w14:textId="0FC3DFD5" w:rsidR="00057392" w:rsidRDefault="00057392" w:rsidP="002B3356">
      <w:pPr>
        <w:rPr>
          <w:lang w:val="en-GB"/>
        </w:rPr>
      </w:pPr>
      <w:r>
        <w:rPr>
          <w:lang w:val="en-GB"/>
        </w:rPr>
        <w:t>Agreement 3 states that data volume shall consider the full PDU Set, but we think that more than one PDU Set shall be included in the calculation of the data volume.</w:t>
      </w:r>
    </w:p>
    <w:p w14:paraId="35FACE8A" w14:textId="195A2431" w:rsidR="002B3356" w:rsidRPr="00032AB7" w:rsidRDefault="002B3356" w:rsidP="002B3356">
      <w:pPr>
        <w:rPr>
          <w:lang w:val="en-GB"/>
        </w:rPr>
      </w:pPr>
      <w:r>
        <w:rPr>
          <w:lang w:val="en-GB"/>
        </w:rPr>
        <w:t>In this paper we will discuss</w:t>
      </w:r>
      <w:r w:rsidR="00057392">
        <w:rPr>
          <w:lang w:val="en-GB"/>
        </w:rPr>
        <w:t xml:space="preserve"> why we shall handle</w:t>
      </w:r>
      <w:r>
        <w:rPr>
          <w:lang w:val="en-GB"/>
        </w:rPr>
        <w:t xml:space="preserve"> </w:t>
      </w:r>
      <w:r w:rsidR="00057392">
        <w:rPr>
          <w:lang w:val="en-GB"/>
        </w:rPr>
        <w:t>multiple PDU Sets</w:t>
      </w:r>
      <w:r>
        <w:rPr>
          <w:lang w:val="en-GB"/>
        </w:rPr>
        <w:t>.</w:t>
      </w:r>
    </w:p>
    <w:bookmarkEnd w:id="2"/>
    <w:bookmarkEnd w:id="3"/>
    <w:p w14:paraId="6B65FFB2" w14:textId="77777777" w:rsidR="00DF5C46" w:rsidRPr="008257E9" w:rsidRDefault="00DF5C46" w:rsidP="00DF5C46">
      <w:pPr>
        <w:rPr>
          <w:rFonts w:ascii="Times New Roman" w:hAnsi="Times New Roman"/>
          <w:lang w:val="en-GB"/>
        </w:rPr>
      </w:pPr>
    </w:p>
    <w:p w14:paraId="5957D479" w14:textId="17FAEF96" w:rsidR="00CC64F8" w:rsidRDefault="006B2C07" w:rsidP="009D509F">
      <w:pPr>
        <w:pStyle w:val="Heading1"/>
        <w:spacing w:before="120" w:after="120"/>
        <w:ind w:left="431" w:hanging="431"/>
        <w:rPr>
          <w:rFonts w:eastAsia="SimSun"/>
          <w:lang w:val="en-US"/>
        </w:rPr>
      </w:pPr>
      <w:r>
        <w:rPr>
          <w:rFonts w:eastAsia="SimSun"/>
          <w:lang w:val="en-US"/>
        </w:rPr>
        <w:lastRenderedPageBreak/>
        <w:t>Discussion</w:t>
      </w:r>
    </w:p>
    <w:p w14:paraId="1A2818DA" w14:textId="28CD676B" w:rsidR="002B3356" w:rsidRDefault="002B3356" w:rsidP="002B3356">
      <w:pPr>
        <w:pStyle w:val="BodyText"/>
      </w:pPr>
      <w:r>
        <w:t xml:space="preserve">There are many reasons for multiplexing PDU Sets with different remaining times </w:t>
      </w:r>
      <w:r w:rsidR="00867D46">
        <w:t xml:space="preserve">within a single </w:t>
      </w:r>
      <w:r>
        <w:t>LCG.</w:t>
      </w:r>
    </w:p>
    <w:p w14:paraId="0F4E1613" w14:textId="4D231BAC" w:rsidR="002B3356" w:rsidRDefault="002B3356" w:rsidP="002B3356">
      <w:pPr>
        <w:pStyle w:val="BodyText"/>
      </w:pPr>
      <w:r>
        <w:t>First, different PDU sessions can be multiplexed in one QoS flow. For example, when two video sessions with the same QoS requirements (</w:t>
      </w:r>
      <w:proofErr w:type="gramStart"/>
      <w:r>
        <w:t>e.g.</w:t>
      </w:r>
      <w:proofErr w:type="gramEnd"/>
      <w:r>
        <w:t xml:space="preserve"> same PSDB) are mapped to the same QoS flow. In that case, if the PDU Sets of the two PDU sessions are not synchronized, the different bursts may arrive at different times at the UE buffers and thus having different remaining times.</w:t>
      </w:r>
    </w:p>
    <w:p w14:paraId="41B19731" w14:textId="77777777" w:rsidR="002B3356" w:rsidRDefault="002B3356" w:rsidP="002B3356">
      <w:pPr>
        <w:pStyle w:val="BodyText"/>
      </w:pPr>
      <w:r>
        <w:t>Another possibility is that the PSDB may be larger than the image period, in that case it may happen that the UE has in its buffers two PDU Sets with different remaining times.</w:t>
      </w:r>
    </w:p>
    <w:p w14:paraId="550206CB" w14:textId="77777777" w:rsidR="002B3356" w:rsidRDefault="002B3356" w:rsidP="002B3356">
      <w:pPr>
        <w:pStyle w:val="BodyText"/>
      </w:pPr>
      <w:r>
        <w:t>Another possibility is the non-PDU Set based channel for example to handle the pose PDUs. Each Pose PDU will have a different remaining time in the UE buffers.</w:t>
      </w:r>
    </w:p>
    <w:p w14:paraId="49CB8B56" w14:textId="77777777" w:rsidR="002B3356" w:rsidRDefault="002B3356" w:rsidP="002B3356">
      <w:pPr>
        <w:pStyle w:val="BodyText"/>
      </w:pPr>
      <w:r>
        <w:t>Finally, there is still the possibility that two PDU sessions with similar QoS requirements but different PDSBs being multiplexed in the same QoS flow.</w:t>
      </w:r>
    </w:p>
    <w:p w14:paraId="197F0C76" w14:textId="46749CCD" w:rsidR="00B17D38" w:rsidRDefault="002B3356" w:rsidP="00B17D38">
      <w:pPr>
        <w:pStyle w:val="Heading2"/>
      </w:pPr>
      <w:r w:rsidRPr="002B3356">
        <w:t>Single threshold</w:t>
      </w:r>
    </w:p>
    <w:p w14:paraId="3FA96558" w14:textId="12677B2E" w:rsidR="002B3356" w:rsidRDefault="002B3356" w:rsidP="002B3356">
      <w:pPr>
        <w:pStyle w:val="BodyText"/>
      </w:pPr>
      <w:r>
        <w:t xml:space="preserve">As discussed in </w:t>
      </w:r>
      <w:r w:rsidR="00A65E38">
        <w:t xml:space="preserve">the </w:t>
      </w:r>
      <w:r>
        <w:t xml:space="preserve">previous </w:t>
      </w:r>
      <w:r w:rsidR="00057392">
        <w:t>paragraph</w:t>
      </w:r>
      <w:r>
        <w:t>, multiple PDUs may be multiplexed in one LCG. If the PDU Sets have similar delay budgets, similar periodicity and synchronized image generation time, it is likely that they can reach the delay threshold trigger simultaneously.</w:t>
      </w:r>
      <w:r w:rsidR="002049D3">
        <w:t xml:space="preserve"> </w:t>
      </w:r>
      <w:r>
        <w:t xml:space="preserve">Another example is two non-synchronized PDU Sets or PDU Sets with different delay budget requirements. </w:t>
      </w:r>
    </w:p>
    <w:p w14:paraId="60A1C2AD" w14:textId="77777777" w:rsidR="002B3356" w:rsidRDefault="002B3356" w:rsidP="002B3356">
      <w:pPr>
        <w:pStyle w:val="BodyText"/>
      </w:pPr>
      <w:r>
        <w:rPr>
          <w:noProof/>
        </w:rPr>
        <w:drawing>
          <wp:inline distT="0" distB="0" distL="0" distR="0" wp14:anchorId="250B0D05" wp14:editId="33FF3104">
            <wp:extent cx="3169653" cy="17230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1385" cy="1740277"/>
                    </a:xfrm>
                    <a:prstGeom prst="rect">
                      <a:avLst/>
                    </a:prstGeom>
                    <a:noFill/>
                  </pic:spPr>
                </pic:pic>
              </a:graphicData>
            </a:graphic>
          </wp:inline>
        </w:drawing>
      </w:r>
    </w:p>
    <w:p w14:paraId="38B6524C" w14:textId="1D780813" w:rsidR="002B3356" w:rsidRPr="00A84101" w:rsidRDefault="002B3356" w:rsidP="002B3356">
      <w:pPr>
        <w:pStyle w:val="Caption"/>
        <w:rPr>
          <w:lang w:val="en-US" w:eastAsia="zh-CN"/>
        </w:rPr>
      </w:pPr>
      <w:r w:rsidRPr="00A84101">
        <w:rPr>
          <w:lang w:val="en-US"/>
        </w:rPr>
        <w:t xml:space="preserve">Figure </w:t>
      </w:r>
      <w:r>
        <w:fldChar w:fldCharType="begin"/>
      </w:r>
      <w:r w:rsidRPr="00A84101">
        <w:rPr>
          <w:lang w:val="en-US"/>
        </w:rPr>
        <w:instrText xml:space="preserve"> SEQ Figure \* ARABIC </w:instrText>
      </w:r>
      <w:r>
        <w:fldChar w:fldCharType="separate"/>
      </w:r>
      <w:r>
        <w:rPr>
          <w:noProof/>
          <w:lang w:val="en-US"/>
        </w:rPr>
        <w:t>1</w:t>
      </w:r>
      <w:r>
        <w:fldChar w:fldCharType="end"/>
      </w:r>
      <w:r w:rsidR="00B41B2F">
        <w:rPr>
          <w:lang w:val="en-US"/>
        </w:rPr>
        <w:t>:</w:t>
      </w:r>
      <w:r w:rsidRPr="00A84101">
        <w:rPr>
          <w:lang w:val="en-US"/>
        </w:rPr>
        <w:t xml:space="preserve"> Mult</w:t>
      </w:r>
      <w:r>
        <w:rPr>
          <w:lang w:val="en-US"/>
        </w:rPr>
        <w:t>i</w:t>
      </w:r>
      <w:r w:rsidRPr="00A84101">
        <w:rPr>
          <w:lang w:val="en-US"/>
        </w:rPr>
        <w:t>ple PDU Sets, single th</w:t>
      </w:r>
      <w:r>
        <w:rPr>
          <w:lang w:val="en-US"/>
        </w:rPr>
        <w:t>reshold</w:t>
      </w:r>
    </w:p>
    <w:p w14:paraId="457FF338" w14:textId="3CFF782F" w:rsidR="002B3356" w:rsidRPr="004B486B" w:rsidRDefault="002B3356" w:rsidP="002B3356">
      <w:pPr>
        <w:pStyle w:val="BodyText"/>
      </w:pPr>
      <w:r w:rsidRPr="004B486B">
        <w:t xml:space="preserve">The following figures </w:t>
      </w:r>
      <w:r w:rsidR="00187FED">
        <w:t>illustrate</w:t>
      </w:r>
      <w:r w:rsidR="00187FED" w:rsidRPr="004B486B">
        <w:t xml:space="preserve"> </w:t>
      </w:r>
      <w:r w:rsidRPr="004B486B">
        <w:t xml:space="preserve">an example </w:t>
      </w:r>
      <w:r w:rsidR="00E63D5D" w:rsidRPr="004B486B">
        <w:t>o</w:t>
      </w:r>
      <w:r w:rsidR="00E63D5D">
        <w:t>f</w:t>
      </w:r>
      <w:r w:rsidR="00E63D5D" w:rsidRPr="004B486B">
        <w:t xml:space="preserve"> </w:t>
      </w:r>
      <w:r w:rsidRPr="004B486B">
        <w:t>a</w:t>
      </w:r>
      <w:r w:rsidR="0088247E">
        <w:t>n</w:t>
      </w:r>
      <w:r w:rsidRPr="004B486B">
        <w:t xml:space="preserve"> LCG multipl</w:t>
      </w:r>
      <w:r>
        <w:t>exing thre</w:t>
      </w:r>
      <w:r w:rsidRPr="004B486B">
        <w:t>e</w:t>
      </w:r>
      <w:r>
        <w:t xml:space="preserve"> PDU Sets (S1, S2, S3) managed by PDCP discard timers (DT1, DT2, DT3)</w:t>
      </w:r>
      <w:r w:rsidR="00E63D5D">
        <w:t>, respectively</w:t>
      </w:r>
      <w:r>
        <w:t>. A re</w:t>
      </w:r>
      <w:r w:rsidR="00B804F1">
        <w:t>m</w:t>
      </w:r>
      <w:r>
        <w:t>a</w:t>
      </w:r>
      <w:r w:rsidR="00B804F1">
        <w:t>in</w:t>
      </w:r>
      <w:r>
        <w:t xml:space="preserve">ing time counter is managed for each PDU Set (RT1, RT2, RT3). All remaining time counters are compared to a single remaining time threshold (TH1) configured by the network. </w:t>
      </w:r>
    </w:p>
    <w:p w14:paraId="58A27B5E" w14:textId="77777777" w:rsidR="002B3356" w:rsidRPr="004B486B" w:rsidRDefault="002B3356" w:rsidP="002B3356">
      <w:pPr>
        <w:pStyle w:val="BodyText"/>
      </w:pPr>
    </w:p>
    <w:p w14:paraId="6C639EAF" w14:textId="77777777" w:rsidR="002B3356" w:rsidRDefault="002B3356" w:rsidP="002B3356">
      <w:pPr>
        <w:pStyle w:val="BodyText"/>
      </w:pPr>
      <w:r>
        <w:rPr>
          <w:noProof/>
        </w:rPr>
        <w:drawing>
          <wp:inline distT="0" distB="0" distL="0" distR="0" wp14:anchorId="600822C5" wp14:editId="332AC1E0">
            <wp:extent cx="3188335" cy="17331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7443" cy="1759878"/>
                    </a:xfrm>
                    <a:prstGeom prst="rect">
                      <a:avLst/>
                    </a:prstGeom>
                    <a:noFill/>
                  </pic:spPr>
                </pic:pic>
              </a:graphicData>
            </a:graphic>
          </wp:inline>
        </w:drawing>
      </w:r>
    </w:p>
    <w:p w14:paraId="44CBA219" w14:textId="20DA8038" w:rsidR="002B3356" w:rsidRDefault="002B3356" w:rsidP="002B3356">
      <w:pPr>
        <w:pStyle w:val="Caption"/>
      </w:pPr>
      <w:r>
        <w:t xml:space="preserve">Figure </w:t>
      </w:r>
      <w:r>
        <w:fldChar w:fldCharType="begin"/>
      </w:r>
      <w:r>
        <w:instrText xml:space="preserve"> SEQ Figure \* ARABIC </w:instrText>
      </w:r>
      <w:r>
        <w:fldChar w:fldCharType="separate"/>
      </w:r>
      <w:r>
        <w:rPr>
          <w:noProof/>
        </w:rPr>
        <w:t>2</w:t>
      </w:r>
      <w:r>
        <w:fldChar w:fldCharType="end"/>
      </w:r>
      <w:r w:rsidR="00B41B2F">
        <w:rPr>
          <w:lang w:val="en-US"/>
        </w:rPr>
        <w:t>:</w:t>
      </w:r>
      <w:r>
        <w:t xml:space="preserve"> First data from PDU Set S1</w:t>
      </w:r>
    </w:p>
    <w:p w14:paraId="5316831B" w14:textId="5C801297" w:rsidR="002B3356" w:rsidRPr="00175A87" w:rsidRDefault="002B3356" w:rsidP="002B3356">
      <w:pPr>
        <w:rPr>
          <w:lang w:val="en-GB"/>
        </w:rPr>
      </w:pPr>
      <w:r>
        <w:rPr>
          <w:lang w:val="en-GB"/>
        </w:rPr>
        <w:t>At first, data become</w:t>
      </w:r>
      <w:r w:rsidR="00D33DB2">
        <w:rPr>
          <w:lang w:val="en-GB"/>
        </w:rPr>
        <w:t>s</w:t>
      </w:r>
      <w:r>
        <w:rPr>
          <w:lang w:val="en-GB"/>
        </w:rPr>
        <w:t xml:space="preserve"> available for PDU Set S1, PDCP notify a discard timer value DT1 of 30 ms, remaining time counter RT1 is set to 30 ms.</w:t>
      </w:r>
    </w:p>
    <w:p w14:paraId="21B07D79" w14:textId="77777777" w:rsidR="002B3356" w:rsidRDefault="002B3356" w:rsidP="002B3356">
      <w:pPr>
        <w:pStyle w:val="BodyText"/>
      </w:pPr>
    </w:p>
    <w:p w14:paraId="0ACA5C8F" w14:textId="77777777" w:rsidR="002B3356" w:rsidRDefault="002B3356" w:rsidP="002B3356">
      <w:pPr>
        <w:pStyle w:val="BodyText"/>
      </w:pPr>
      <w:r>
        <w:rPr>
          <w:noProof/>
        </w:rPr>
        <w:drawing>
          <wp:inline distT="0" distB="0" distL="0" distR="0" wp14:anchorId="0A5C6DD8" wp14:editId="16EEA52E">
            <wp:extent cx="3288754" cy="1787769"/>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3538" cy="1822986"/>
                    </a:xfrm>
                    <a:prstGeom prst="rect">
                      <a:avLst/>
                    </a:prstGeom>
                    <a:noFill/>
                  </pic:spPr>
                </pic:pic>
              </a:graphicData>
            </a:graphic>
          </wp:inline>
        </w:drawing>
      </w:r>
    </w:p>
    <w:p w14:paraId="104D8603" w14:textId="7975AA79" w:rsidR="002B3356" w:rsidRDefault="002B3356" w:rsidP="002B3356">
      <w:pPr>
        <w:pStyle w:val="Caption"/>
        <w:rPr>
          <w:lang w:eastAsia="zh-CN"/>
        </w:rPr>
      </w:pPr>
      <w:r>
        <w:t xml:space="preserve">Figure </w:t>
      </w:r>
      <w:r>
        <w:fldChar w:fldCharType="begin"/>
      </w:r>
      <w:r>
        <w:instrText xml:space="preserve"> SEQ Figure \* ARABIC </w:instrText>
      </w:r>
      <w:r>
        <w:fldChar w:fldCharType="separate"/>
      </w:r>
      <w:r>
        <w:rPr>
          <w:noProof/>
        </w:rPr>
        <w:t>3</w:t>
      </w:r>
      <w:r>
        <w:fldChar w:fldCharType="end"/>
      </w:r>
      <w:r w:rsidR="00B41B2F">
        <w:rPr>
          <w:lang w:val="en-US"/>
        </w:rPr>
        <w:t>:</w:t>
      </w:r>
      <w:r>
        <w:t xml:space="preserve"> </w:t>
      </w:r>
      <w:r w:rsidRPr="00A84101">
        <w:t>First data from PDU Set S</w:t>
      </w:r>
      <w:r>
        <w:t>2</w:t>
      </w:r>
    </w:p>
    <w:p w14:paraId="091ACD14" w14:textId="77777777" w:rsidR="002B3356" w:rsidRDefault="002B3356" w:rsidP="002B3356">
      <w:pPr>
        <w:pStyle w:val="BodyText"/>
      </w:pPr>
      <w:r>
        <w:t xml:space="preserve">After 5 ms, data becomes available for the second PDU Set (S2), </w:t>
      </w:r>
      <w:r w:rsidRPr="00175A87">
        <w:t>PDCP notify a discard timer value</w:t>
      </w:r>
      <w:r>
        <w:t xml:space="preserve"> DT2</w:t>
      </w:r>
      <w:r w:rsidRPr="00175A87">
        <w:t xml:space="preserve"> of 30 ms, rema</w:t>
      </w:r>
      <w:r>
        <w:t>i</w:t>
      </w:r>
      <w:r w:rsidRPr="00175A87">
        <w:t>ning time counter RT</w:t>
      </w:r>
      <w:r>
        <w:t>2</w:t>
      </w:r>
      <w:r w:rsidRPr="00175A87">
        <w:t xml:space="preserve"> is set to 30 ms</w:t>
      </w:r>
      <w:r>
        <w:t xml:space="preserve">. Meanwhile, the </w:t>
      </w:r>
      <w:r w:rsidRPr="00175A87">
        <w:t>remaining time counter RT1</w:t>
      </w:r>
      <w:r>
        <w:t xml:space="preserve"> is now at 25 ms.</w:t>
      </w:r>
    </w:p>
    <w:p w14:paraId="643A1D47" w14:textId="77777777" w:rsidR="002B3356" w:rsidRDefault="002B3356" w:rsidP="002B3356">
      <w:pPr>
        <w:pStyle w:val="BodyText"/>
      </w:pPr>
      <w:r>
        <w:rPr>
          <w:noProof/>
        </w:rPr>
        <w:drawing>
          <wp:inline distT="0" distB="0" distL="0" distR="0" wp14:anchorId="5C43818B" wp14:editId="24CD954D">
            <wp:extent cx="3279252" cy="16751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2338" cy="1692082"/>
                    </a:xfrm>
                    <a:prstGeom prst="rect">
                      <a:avLst/>
                    </a:prstGeom>
                    <a:noFill/>
                  </pic:spPr>
                </pic:pic>
              </a:graphicData>
            </a:graphic>
          </wp:inline>
        </w:drawing>
      </w:r>
    </w:p>
    <w:p w14:paraId="248222A8" w14:textId="3E041241" w:rsidR="002B3356" w:rsidRPr="00B41B2F" w:rsidRDefault="002B3356" w:rsidP="002B3356">
      <w:pPr>
        <w:pStyle w:val="Caption"/>
        <w:rPr>
          <w:lang w:val="en-US" w:eastAsia="zh-CN"/>
        </w:rPr>
      </w:pPr>
      <w:bookmarkStart w:id="5" w:name="_Ref146467199"/>
      <w:r>
        <w:t xml:space="preserve">Figure </w:t>
      </w:r>
      <w:r>
        <w:fldChar w:fldCharType="begin"/>
      </w:r>
      <w:r>
        <w:instrText xml:space="preserve"> SEQ Figure \* ARABIC </w:instrText>
      </w:r>
      <w:r>
        <w:fldChar w:fldCharType="separate"/>
      </w:r>
      <w:r>
        <w:rPr>
          <w:noProof/>
        </w:rPr>
        <w:t>4</w:t>
      </w:r>
      <w:r>
        <w:fldChar w:fldCharType="end"/>
      </w:r>
      <w:bookmarkEnd w:id="5"/>
      <w:r w:rsidR="00B41B2F">
        <w:rPr>
          <w:lang w:val="en-US"/>
        </w:rPr>
        <w:t>:</w:t>
      </w:r>
      <w:r>
        <w:t xml:space="preserve"> First data from PDU Set S3</w:t>
      </w:r>
      <w:r w:rsidR="00B41B2F">
        <w:rPr>
          <w:lang w:val="en-US"/>
        </w:rPr>
        <w:t xml:space="preserve"> and first trigger</w:t>
      </w:r>
    </w:p>
    <w:p w14:paraId="2F785628" w14:textId="77777777" w:rsidR="002B3356" w:rsidRDefault="002B3356" w:rsidP="002B3356">
      <w:pPr>
        <w:pStyle w:val="BodyText"/>
      </w:pPr>
      <w:r>
        <w:t xml:space="preserve">15 ms later, </w:t>
      </w:r>
      <w:r w:rsidRPr="00175A87">
        <w:t xml:space="preserve">data becomes available for the </w:t>
      </w:r>
      <w:r>
        <w:t>third</w:t>
      </w:r>
      <w:r w:rsidRPr="00175A87">
        <w:t xml:space="preserve"> PDU Set (S</w:t>
      </w:r>
      <w:r>
        <w:t>3</w:t>
      </w:r>
      <w:r w:rsidRPr="00175A87">
        <w:t xml:space="preserve">), PDCP notify a discard timer value </w:t>
      </w:r>
      <w:r>
        <w:t xml:space="preserve">DT3 </w:t>
      </w:r>
      <w:r w:rsidRPr="00175A87">
        <w:t xml:space="preserve">of </w:t>
      </w:r>
      <w:r>
        <w:t>16</w:t>
      </w:r>
      <w:r w:rsidRPr="00175A87">
        <w:t xml:space="preserve"> ms</w:t>
      </w:r>
      <w:r>
        <w:t xml:space="preserve">, </w:t>
      </w:r>
      <w:r w:rsidRPr="00175A87">
        <w:t>remaining time counter RT</w:t>
      </w:r>
      <w:r>
        <w:t>3</w:t>
      </w:r>
      <w:r w:rsidRPr="00175A87">
        <w:t xml:space="preserve"> is set to </w:t>
      </w:r>
      <w:r>
        <w:t>16</w:t>
      </w:r>
      <w:r w:rsidRPr="00175A87">
        <w:t xml:space="preserve"> ms.</w:t>
      </w:r>
      <w:r w:rsidRPr="003D3627">
        <w:t xml:space="preserve"> Meanwhile, the remaining time counter RT1 is now at </w:t>
      </w:r>
      <w:r>
        <w:t>10</w:t>
      </w:r>
      <w:r w:rsidRPr="003D3627">
        <w:t xml:space="preserve"> ms</w:t>
      </w:r>
      <w:r>
        <w:t xml:space="preserve"> triggering a DSR report with S1 buffer status. T</w:t>
      </w:r>
      <w:r w:rsidRPr="003D3627">
        <w:t>he remaining time counter RT</w:t>
      </w:r>
      <w:r>
        <w:t>2</w:t>
      </w:r>
      <w:r w:rsidRPr="003D3627">
        <w:t xml:space="preserve"> is now at </w:t>
      </w:r>
      <w:r>
        <w:t>15</w:t>
      </w:r>
      <w:r w:rsidRPr="003D3627">
        <w:t xml:space="preserve"> ms</w:t>
      </w:r>
      <w:r>
        <w:t>.</w:t>
      </w:r>
    </w:p>
    <w:p w14:paraId="368E0F2E" w14:textId="77777777" w:rsidR="002B3356" w:rsidRDefault="002B3356" w:rsidP="002B3356">
      <w:pPr>
        <w:pStyle w:val="BodyText"/>
      </w:pPr>
      <w:r>
        <w:rPr>
          <w:noProof/>
        </w:rPr>
        <w:drawing>
          <wp:inline distT="0" distB="0" distL="0" distR="0" wp14:anchorId="7DE582B6" wp14:editId="68D474DA">
            <wp:extent cx="3380315" cy="18375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4168" cy="1866818"/>
                    </a:xfrm>
                    <a:prstGeom prst="rect">
                      <a:avLst/>
                    </a:prstGeom>
                    <a:noFill/>
                  </pic:spPr>
                </pic:pic>
              </a:graphicData>
            </a:graphic>
          </wp:inline>
        </w:drawing>
      </w:r>
    </w:p>
    <w:p w14:paraId="02E9189A" w14:textId="2669C99C" w:rsidR="002B3356" w:rsidRDefault="002B3356" w:rsidP="002B3356">
      <w:pPr>
        <w:pStyle w:val="Caption"/>
        <w:rPr>
          <w:lang w:eastAsia="zh-CN"/>
        </w:rPr>
      </w:pPr>
      <w:bookmarkStart w:id="6" w:name="_Ref146468258"/>
      <w:r>
        <w:t xml:space="preserve">Figure </w:t>
      </w:r>
      <w:r>
        <w:fldChar w:fldCharType="begin"/>
      </w:r>
      <w:r>
        <w:instrText xml:space="preserve"> SEQ Figure \* ARABIC </w:instrText>
      </w:r>
      <w:r>
        <w:fldChar w:fldCharType="separate"/>
      </w:r>
      <w:r>
        <w:rPr>
          <w:noProof/>
        </w:rPr>
        <w:t>5</w:t>
      </w:r>
      <w:r>
        <w:fldChar w:fldCharType="end"/>
      </w:r>
      <w:bookmarkEnd w:id="6"/>
      <w:r w:rsidR="00B41B2F">
        <w:rPr>
          <w:lang w:val="en-US"/>
        </w:rPr>
        <w:t>:</w:t>
      </w:r>
      <w:r>
        <w:t xml:space="preserve"> Second trigger</w:t>
      </w:r>
    </w:p>
    <w:p w14:paraId="43618AF6" w14:textId="77777777" w:rsidR="002B3356" w:rsidRDefault="002B3356" w:rsidP="002B3356">
      <w:pPr>
        <w:pStyle w:val="BodyText"/>
      </w:pPr>
      <w:r>
        <w:t>5 ms later, the remaining time counter RT2 reaches the remaining time threshold and a DSR is triggered for PDU Set 2. The remaining time counter RT1 is at 5 ms and the remaining time counter RT3 is at 11 ms.</w:t>
      </w:r>
    </w:p>
    <w:p w14:paraId="101CCFFF" w14:textId="2346673A" w:rsidR="002B3356" w:rsidRDefault="002B3356" w:rsidP="002B3356">
      <w:pPr>
        <w:pStyle w:val="BodyText"/>
      </w:pPr>
      <w:r>
        <w:t>If</w:t>
      </w:r>
      <w:r w:rsidR="00D33DB2">
        <w:t>,</w:t>
      </w:r>
      <w:r>
        <w:t xml:space="preserve"> in another example, the discard timer DT3 was 15 ms</w:t>
      </w:r>
      <w:r w:rsidR="00D33DB2">
        <w:t xml:space="preserve">, instead of </w:t>
      </w:r>
      <w:r>
        <w:t xml:space="preserve">16 ms, two independent PDU Sets S2 and S3 would have reached the remaining time threshold simultaneously. </w:t>
      </w:r>
      <w:bookmarkStart w:id="7" w:name="_Hlk146470402"/>
      <w:r>
        <w:t xml:space="preserve">In a single threshold system, there is no need to send two DSR, one DSR can report the sum of available data from the two PDU </w:t>
      </w:r>
      <w:bookmarkEnd w:id="7"/>
      <w:r>
        <w:t>Sets, thus minimizing the overhead.</w:t>
      </w:r>
    </w:p>
    <w:p w14:paraId="3C641ED6" w14:textId="26ED4970" w:rsidR="002B3356" w:rsidRPr="00D51295" w:rsidRDefault="002B3356" w:rsidP="002B3356">
      <w:pPr>
        <w:pStyle w:val="BodyText"/>
        <w:rPr>
          <w:rFonts w:eastAsia="SimSun"/>
          <w:b/>
          <w:bCs/>
        </w:rPr>
      </w:pPr>
      <w:r w:rsidRPr="00D51295">
        <w:rPr>
          <w:rFonts w:eastAsia="SimSun"/>
          <w:b/>
          <w:bCs/>
        </w:rPr>
        <w:t xml:space="preserve">Proposal </w:t>
      </w:r>
      <w:r w:rsidR="00057392">
        <w:rPr>
          <w:rFonts w:eastAsia="SimSun"/>
          <w:b/>
          <w:bCs/>
        </w:rPr>
        <w:t>1</w:t>
      </w:r>
      <w:r w:rsidRPr="00D51295">
        <w:rPr>
          <w:rFonts w:eastAsia="SimSun"/>
          <w:b/>
          <w:bCs/>
        </w:rPr>
        <w:t>: For one LCG, PDU Sets that reaches simultaneously the remaining time threshold shall be reported in a single DSR</w:t>
      </w:r>
    </w:p>
    <w:p w14:paraId="67FFD03B" w14:textId="77777777" w:rsidR="002B3356" w:rsidRDefault="002B3356" w:rsidP="002B3356">
      <w:pPr>
        <w:pStyle w:val="BodyText"/>
        <w:rPr>
          <w:rFonts w:eastAsia="SimSun"/>
        </w:rPr>
      </w:pPr>
      <w:r>
        <w:rPr>
          <w:rFonts w:eastAsia="SimSun"/>
        </w:rPr>
        <w:lastRenderedPageBreak/>
        <w:t xml:space="preserve">Back to the current example, when S2 reaches the remaining time threshold, S3 is 1 ms away from reaching the same threshold. </w:t>
      </w:r>
      <w:r w:rsidRPr="003B2480">
        <w:rPr>
          <w:rFonts w:eastAsia="SimSun"/>
        </w:rPr>
        <w:t xml:space="preserve">In a single threshold system, there </w:t>
      </w:r>
      <w:r>
        <w:rPr>
          <w:rFonts w:eastAsia="SimSun"/>
        </w:rPr>
        <w:t xml:space="preserve">shall be some flexibility (may be configured by the network) in the threshold definition allowing PDU sets with almost the same remaining time to be reported in the same DSR. </w:t>
      </w:r>
    </w:p>
    <w:p w14:paraId="5BE45521" w14:textId="78270A3A" w:rsidR="002B3356" w:rsidRPr="00D51295" w:rsidRDefault="002B3356" w:rsidP="002B3356">
      <w:pPr>
        <w:pStyle w:val="BodyText"/>
        <w:rPr>
          <w:rFonts w:eastAsia="SimSun"/>
          <w:b/>
          <w:bCs/>
        </w:rPr>
      </w:pPr>
      <w:r w:rsidRPr="00D51295">
        <w:rPr>
          <w:rFonts w:eastAsia="SimSun"/>
          <w:b/>
          <w:bCs/>
        </w:rPr>
        <w:t xml:space="preserve">Proposal </w:t>
      </w:r>
      <w:r w:rsidR="00057392">
        <w:rPr>
          <w:rFonts w:eastAsia="SimSun"/>
          <w:b/>
          <w:bCs/>
        </w:rPr>
        <w:t>2</w:t>
      </w:r>
      <w:r w:rsidRPr="00D51295">
        <w:rPr>
          <w:rFonts w:eastAsia="SimSun"/>
          <w:b/>
          <w:bCs/>
        </w:rPr>
        <w:t>: For one LCG, PDU Sets that reaches the remaining time threshold almost in the same time shall be reported in a single DSR</w:t>
      </w:r>
    </w:p>
    <w:p w14:paraId="61A2A9D4" w14:textId="722EBB8F" w:rsidR="002B3356" w:rsidRDefault="002B3356" w:rsidP="002B3356">
      <w:pPr>
        <w:pStyle w:val="BodyText"/>
        <w:rPr>
          <w:rFonts w:eastAsia="SimSun"/>
        </w:rPr>
      </w:pPr>
      <w:r>
        <w:rPr>
          <w:rFonts w:eastAsia="SimSun"/>
        </w:rPr>
        <w:t>When S1 reached the remaining time threshold (</w:t>
      </w:r>
      <w:r>
        <w:rPr>
          <w:rFonts w:eastAsia="SimSun"/>
        </w:rPr>
        <w:fldChar w:fldCharType="begin"/>
      </w:r>
      <w:r>
        <w:rPr>
          <w:rFonts w:eastAsia="SimSun"/>
        </w:rPr>
        <w:instrText xml:space="preserve"> REF _Ref146467199 \h </w:instrText>
      </w:r>
      <w:r>
        <w:rPr>
          <w:rFonts w:eastAsia="SimSun"/>
        </w:rPr>
      </w:r>
      <w:r>
        <w:rPr>
          <w:rFonts w:eastAsia="SimSun"/>
        </w:rPr>
        <w:fldChar w:fldCharType="separate"/>
      </w:r>
      <w:r>
        <w:t xml:space="preserve">Figure </w:t>
      </w:r>
      <w:r>
        <w:rPr>
          <w:noProof/>
        </w:rPr>
        <w:t>4</w:t>
      </w:r>
      <w:r>
        <w:rPr>
          <w:rFonts w:eastAsia="SimSun"/>
        </w:rPr>
        <w:fldChar w:fldCharType="end"/>
      </w:r>
      <w:r>
        <w:rPr>
          <w:rFonts w:eastAsia="SimSun"/>
        </w:rPr>
        <w:t>), the UE may have subsequently failed to send the corresponding DSR report. Similar to BSR truncated report, the DSR report may have been arbitrated out in favo</w:t>
      </w:r>
      <w:r w:rsidR="0074038A">
        <w:rPr>
          <w:rFonts w:eastAsia="SimSun"/>
        </w:rPr>
        <w:t>u</w:t>
      </w:r>
      <w:r>
        <w:rPr>
          <w:rFonts w:eastAsia="SimSun"/>
        </w:rPr>
        <w:t>r of a higher priority LCG. Intra UE prioritization might also delay DSR sending. In the case w</w:t>
      </w:r>
      <w:r w:rsidR="00B57580">
        <w:rPr>
          <w:rFonts w:eastAsia="SimSun"/>
        </w:rPr>
        <w:t>h</w:t>
      </w:r>
      <w:r>
        <w:rPr>
          <w:rFonts w:eastAsia="SimSun"/>
        </w:rPr>
        <w:t>ere S1 DSR is not yet sent when S2 is triggered (</w:t>
      </w:r>
      <w:r>
        <w:rPr>
          <w:rFonts w:eastAsia="SimSun"/>
        </w:rPr>
        <w:fldChar w:fldCharType="begin"/>
      </w:r>
      <w:r>
        <w:rPr>
          <w:rFonts w:eastAsia="SimSun"/>
        </w:rPr>
        <w:instrText xml:space="preserve"> REF _Ref146468258 \h </w:instrText>
      </w:r>
      <w:r>
        <w:rPr>
          <w:rFonts w:eastAsia="SimSun"/>
        </w:rPr>
      </w:r>
      <w:r>
        <w:rPr>
          <w:rFonts w:eastAsia="SimSun"/>
        </w:rPr>
        <w:fldChar w:fldCharType="separate"/>
      </w:r>
      <w:r>
        <w:t xml:space="preserve">Figure </w:t>
      </w:r>
      <w:r>
        <w:rPr>
          <w:noProof/>
        </w:rPr>
        <w:t>5</w:t>
      </w:r>
      <w:r>
        <w:rPr>
          <w:rFonts w:eastAsia="SimSun"/>
        </w:rPr>
        <w:fldChar w:fldCharType="end"/>
      </w:r>
      <w:r>
        <w:rPr>
          <w:rFonts w:eastAsia="SimSun"/>
        </w:rPr>
        <w:t>), it may be interesting to send a single DSR report combining both S1 and S2.</w:t>
      </w:r>
    </w:p>
    <w:p w14:paraId="385A17DC" w14:textId="0CC04A49" w:rsidR="002B3356" w:rsidRPr="00D51295" w:rsidRDefault="002B3356" w:rsidP="002B3356">
      <w:pPr>
        <w:pStyle w:val="BodyText"/>
        <w:rPr>
          <w:rFonts w:eastAsia="SimSun"/>
          <w:b/>
          <w:bCs/>
        </w:rPr>
      </w:pPr>
      <w:r w:rsidRPr="00D51295">
        <w:rPr>
          <w:rFonts w:eastAsia="SimSun"/>
          <w:b/>
          <w:bCs/>
        </w:rPr>
        <w:t xml:space="preserve">Proposal </w:t>
      </w:r>
      <w:r w:rsidR="00057392">
        <w:rPr>
          <w:rFonts w:eastAsia="SimSun"/>
          <w:b/>
          <w:bCs/>
        </w:rPr>
        <w:t>3</w:t>
      </w:r>
      <w:r w:rsidRPr="00D51295">
        <w:rPr>
          <w:rFonts w:eastAsia="SimSun"/>
          <w:b/>
          <w:bCs/>
        </w:rPr>
        <w:t>: For one LCG, the reported buffer status shall include the status relative to the PDU sets that have recently reached the threshold as well as the PDU sets that have reached the threshold earlier but did not have an associated DSR</w:t>
      </w:r>
    </w:p>
    <w:p w14:paraId="735237B3" w14:textId="23FCE070" w:rsidR="002B3356" w:rsidRDefault="002B3356" w:rsidP="002B3356">
      <w:pPr>
        <w:pStyle w:val="BodyText"/>
        <w:rPr>
          <w:rFonts w:eastAsia="SimSun"/>
        </w:rPr>
      </w:pPr>
      <w:r>
        <w:rPr>
          <w:rFonts w:eastAsia="SimSun"/>
        </w:rPr>
        <w:t xml:space="preserve">At the time </w:t>
      </w:r>
      <w:r w:rsidR="00B57580">
        <w:rPr>
          <w:rFonts w:eastAsia="SimSun"/>
        </w:rPr>
        <w:t xml:space="preserve">when </w:t>
      </w:r>
      <w:r>
        <w:rPr>
          <w:rFonts w:eastAsia="SimSun"/>
        </w:rPr>
        <w:t>S2 reaches the remaining time threshold (</w:t>
      </w:r>
      <w:r>
        <w:rPr>
          <w:rFonts w:eastAsia="SimSun"/>
        </w:rPr>
        <w:fldChar w:fldCharType="begin"/>
      </w:r>
      <w:r>
        <w:rPr>
          <w:rFonts w:eastAsia="SimSun"/>
        </w:rPr>
        <w:instrText xml:space="preserve"> REF _Ref146468258 \h </w:instrText>
      </w:r>
      <w:r>
        <w:rPr>
          <w:rFonts w:eastAsia="SimSun"/>
        </w:rPr>
      </w:r>
      <w:r>
        <w:rPr>
          <w:rFonts w:eastAsia="SimSun"/>
        </w:rPr>
        <w:fldChar w:fldCharType="separate"/>
      </w:r>
      <w:r>
        <w:t xml:space="preserve">Figure </w:t>
      </w:r>
      <w:r>
        <w:rPr>
          <w:noProof/>
        </w:rPr>
        <w:t>5</w:t>
      </w:r>
      <w:r>
        <w:rPr>
          <w:rFonts w:eastAsia="SimSun"/>
        </w:rPr>
        <w:fldChar w:fldCharType="end"/>
      </w:r>
      <w:r>
        <w:rPr>
          <w:rFonts w:eastAsia="SimSun"/>
        </w:rPr>
        <w:t xml:space="preserve">), although S1’s DSR have already been sent earlier, there may be some data left in UE buffers corresponding to S1. </w:t>
      </w:r>
      <w:r w:rsidR="00B57580">
        <w:rPr>
          <w:rFonts w:eastAsia="SimSun"/>
        </w:rPr>
        <w:t xml:space="preserve">In </w:t>
      </w:r>
      <w:r>
        <w:rPr>
          <w:rFonts w:eastAsia="SimSun"/>
        </w:rPr>
        <w:t>that situation</w:t>
      </w:r>
      <w:r w:rsidR="00B57580">
        <w:rPr>
          <w:rFonts w:eastAsia="SimSun"/>
        </w:rPr>
        <w:t>,</w:t>
      </w:r>
      <w:r>
        <w:rPr>
          <w:rFonts w:eastAsia="SimSun"/>
        </w:rPr>
        <w:t xml:space="preserve"> it may</w:t>
      </w:r>
      <w:r w:rsidR="00B57580">
        <w:rPr>
          <w:rFonts w:eastAsia="SimSun"/>
        </w:rPr>
        <w:t xml:space="preserve"> be</w:t>
      </w:r>
      <w:r>
        <w:rPr>
          <w:rFonts w:eastAsia="SimSun"/>
        </w:rPr>
        <w:t xml:space="preserve"> interesting to sum the data left for S1 with the available data from S2 in a single DSR.</w:t>
      </w:r>
    </w:p>
    <w:p w14:paraId="02B0473B" w14:textId="47EE85B2" w:rsidR="002B3356" w:rsidRPr="00D51295" w:rsidRDefault="002B3356" w:rsidP="002B3356">
      <w:pPr>
        <w:pStyle w:val="BodyText"/>
        <w:rPr>
          <w:rFonts w:eastAsia="SimSun"/>
          <w:b/>
          <w:bCs/>
        </w:rPr>
      </w:pPr>
      <w:r w:rsidRPr="00D51295">
        <w:rPr>
          <w:rFonts w:eastAsia="SimSun"/>
          <w:b/>
          <w:bCs/>
        </w:rPr>
        <w:t xml:space="preserve">Proposal </w:t>
      </w:r>
      <w:r w:rsidR="00057392">
        <w:rPr>
          <w:rFonts w:eastAsia="SimSun"/>
          <w:b/>
          <w:bCs/>
        </w:rPr>
        <w:t>4</w:t>
      </w:r>
      <w:r w:rsidRPr="00D51295">
        <w:rPr>
          <w:rFonts w:eastAsia="SimSun"/>
          <w:b/>
          <w:bCs/>
        </w:rPr>
        <w:t>:  For one LCG, the reported buffer status shall include the status relative to the PDU sets that have recently reached the threshold as well as the PDU sets that have reached the threshold earlier but that still have available data in the buffers</w:t>
      </w:r>
    </w:p>
    <w:p w14:paraId="547DD8A0" w14:textId="77777777" w:rsidR="007A35BE" w:rsidRDefault="007A35BE" w:rsidP="007A35BE">
      <w:pPr>
        <w:pStyle w:val="Heading1"/>
        <w:rPr>
          <w:rFonts w:eastAsia="SimSun"/>
          <w:lang w:val="en-US"/>
        </w:rPr>
      </w:pPr>
      <w:r w:rsidRPr="00CB19F6">
        <w:rPr>
          <w:rFonts w:eastAsia="SimSun"/>
          <w:lang w:val="en-US"/>
        </w:rPr>
        <w:t>Conclusion</w:t>
      </w:r>
    </w:p>
    <w:bookmarkEnd w:id="0"/>
    <w:bookmarkEnd w:id="1"/>
    <w:p w14:paraId="3DD21FA0" w14:textId="534C51DF" w:rsidR="002B3356" w:rsidRDefault="002B3356" w:rsidP="002B3356">
      <w:pPr>
        <w:pStyle w:val="BodyText"/>
        <w:rPr>
          <w:rFonts w:eastAsia="SimSun"/>
        </w:rPr>
      </w:pPr>
      <w:r w:rsidRPr="00032AB7">
        <w:rPr>
          <w:rFonts w:eastAsia="SimSun"/>
        </w:rPr>
        <w:t>According to the analysis in section 2, it is proposed:</w:t>
      </w:r>
    </w:p>
    <w:p w14:paraId="2D9652EF" w14:textId="4AAA2C4F" w:rsidR="00D51295" w:rsidRPr="00D51295" w:rsidRDefault="00D51295" w:rsidP="00D51295">
      <w:pPr>
        <w:pStyle w:val="BodyText"/>
        <w:rPr>
          <w:rFonts w:eastAsia="SimSun"/>
          <w:b/>
          <w:bCs/>
        </w:rPr>
      </w:pPr>
      <w:r w:rsidRPr="00D51295">
        <w:rPr>
          <w:rFonts w:eastAsia="SimSun"/>
          <w:b/>
          <w:bCs/>
        </w:rPr>
        <w:t xml:space="preserve">Proposal </w:t>
      </w:r>
      <w:r w:rsidR="00057392">
        <w:rPr>
          <w:rFonts w:eastAsia="SimSun"/>
          <w:b/>
          <w:bCs/>
        </w:rPr>
        <w:t>1</w:t>
      </w:r>
      <w:r w:rsidRPr="00D51295">
        <w:rPr>
          <w:rFonts w:eastAsia="SimSun"/>
          <w:b/>
          <w:bCs/>
        </w:rPr>
        <w:t>: For one LCG, PDU Sets that reaches simultaneously the remaining time threshold shall be reported in a single DSR</w:t>
      </w:r>
    </w:p>
    <w:p w14:paraId="7AF85783" w14:textId="7D72A93D" w:rsidR="00D51295" w:rsidRPr="00D51295" w:rsidRDefault="00D51295" w:rsidP="00D51295">
      <w:pPr>
        <w:pStyle w:val="BodyText"/>
        <w:rPr>
          <w:rFonts w:eastAsia="SimSun"/>
          <w:b/>
          <w:bCs/>
        </w:rPr>
      </w:pPr>
      <w:r w:rsidRPr="00D51295">
        <w:rPr>
          <w:rFonts w:eastAsia="SimSun"/>
          <w:b/>
          <w:bCs/>
        </w:rPr>
        <w:t xml:space="preserve">Proposal </w:t>
      </w:r>
      <w:r w:rsidR="00057392">
        <w:rPr>
          <w:rFonts w:eastAsia="SimSun"/>
          <w:b/>
          <w:bCs/>
        </w:rPr>
        <w:t>2</w:t>
      </w:r>
      <w:r w:rsidRPr="00D51295">
        <w:rPr>
          <w:rFonts w:eastAsia="SimSun"/>
          <w:b/>
          <w:bCs/>
        </w:rPr>
        <w:t>: For one LCG, PDU Sets that reaches the remaining time threshold almost in the same time shall be reported in a single DSR</w:t>
      </w:r>
    </w:p>
    <w:p w14:paraId="244241BD" w14:textId="32D3817F" w:rsidR="00D51295" w:rsidRPr="00D51295" w:rsidRDefault="00D51295" w:rsidP="00D51295">
      <w:pPr>
        <w:pStyle w:val="BodyText"/>
        <w:rPr>
          <w:rFonts w:eastAsia="SimSun"/>
          <w:b/>
          <w:bCs/>
        </w:rPr>
      </w:pPr>
      <w:r w:rsidRPr="00D51295">
        <w:rPr>
          <w:rFonts w:eastAsia="SimSun"/>
          <w:b/>
          <w:bCs/>
        </w:rPr>
        <w:t xml:space="preserve">Proposal </w:t>
      </w:r>
      <w:r w:rsidR="00057392">
        <w:rPr>
          <w:rFonts w:eastAsia="SimSun"/>
          <w:b/>
          <w:bCs/>
        </w:rPr>
        <w:t>3</w:t>
      </w:r>
      <w:r w:rsidRPr="00D51295">
        <w:rPr>
          <w:rFonts w:eastAsia="SimSun"/>
          <w:b/>
          <w:bCs/>
        </w:rPr>
        <w:t>: For one LCG, the reported buffer status shall include the status relative to the PDU sets that have recently reached the threshold as well as the PDU sets that have reached the threshold earlier but did not have an associated DSR</w:t>
      </w:r>
    </w:p>
    <w:p w14:paraId="31EDAB7C" w14:textId="771BB42F" w:rsidR="00D51295" w:rsidRPr="00D51295" w:rsidRDefault="00D51295" w:rsidP="002B3356">
      <w:pPr>
        <w:pStyle w:val="BodyText"/>
        <w:rPr>
          <w:rFonts w:eastAsia="SimSun"/>
          <w:b/>
          <w:bCs/>
        </w:rPr>
      </w:pPr>
      <w:r w:rsidRPr="00D51295">
        <w:rPr>
          <w:rFonts w:eastAsia="SimSun"/>
          <w:b/>
          <w:bCs/>
        </w:rPr>
        <w:t xml:space="preserve">Proposal </w:t>
      </w:r>
      <w:r w:rsidR="00057392">
        <w:rPr>
          <w:rFonts w:eastAsia="SimSun"/>
          <w:b/>
          <w:bCs/>
        </w:rPr>
        <w:t>4</w:t>
      </w:r>
      <w:r w:rsidRPr="00D51295">
        <w:rPr>
          <w:rFonts w:eastAsia="SimSun"/>
          <w:b/>
          <w:bCs/>
        </w:rPr>
        <w:t>:  For one LCG, the reported buffer status shall include the status relative to the PDU sets that have recently reached the threshold as well as the PDU sets that have reached the threshold earlier but that still have available data in the buffers</w:t>
      </w:r>
    </w:p>
    <w:p w14:paraId="3AF0CACE" w14:textId="77777777" w:rsidR="004E5E9C" w:rsidRPr="00725C2B" w:rsidRDefault="004E5E9C" w:rsidP="004E5E9C">
      <w:pPr>
        <w:pStyle w:val="Heading1"/>
        <w:rPr>
          <w:rFonts w:eastAsia="SimSun"/>
          <w:lang w:val="en-US"/>
        </w:rPr>
      </w:pPr>
      <w:r w:rsidRPr="00725C2B">
        <w:rPr>
          <w:rFonts w:eastAsia="SimSun"/>
          <w:lang w:val="en-US"/>
        </w:rPr>
        <w:t>Reference</w:t>
      </w:r>
      <w:r w:rsidR="00280DB3">
        <w:rPr>
          <w:rFonts w:eastAsia="SimSun"/>
          <w:lang w:val="en-US"/>
        </w:rPr>
        <w:t>s</w:t>
      </w:r>
    </w:p>
    <w:p w14:paraId="1D688A5B" w14:textId="77777777" w:rsidR="002B3356" w:rsidRPr="00032AB7" w:rsidRDefault="002B3356" w:rsidP="002B3356">
      <w:pPr>
        <w:pStyle w:val="BodyText"/>
        <w:numPr>
          <w:ilvl w:val="0"/>
          <w:numId w:val="42"/>
        </w:numPr>
        <w:overflowPunct/>
        <w:autoSpaceDE/>
        <w:autoSpaceDN/>
        <w:adjustRightInd/>
        <w:textAlignment w:val="auto"/>
        <w:rPr>
          <w:rFonts w:eastAsiaTheme="minorEastAsia"/>
        </w:rPr>
      </w:pPr>
      <w:bookmarkStart w:id="8" w:name="_Ref142499119"/>
      <w:bookmarkStart w:id="9" w:name="_Ref145061460"/>
      <w:bookmarkStart w:id="10" w:name="_Ref145926761"/>
      <w:bookmarkStart w:id="11" w:name="_Ref131258404"/>
      <w:bookmarkStart w:id="12" w:name="_Ref134025711"/>
      <w:bookmarkStart w:id="13" w:name="_Ref134090067"/>
      <w:r w:rsidRPr="00014D46">
        <w:t>R2-2307001</w:t>
      </w:r>
      <w:r w:rsidRPr="003C75DA">
        <w:t xml:space="preserve">, </w:t>
      </w:r>
      <w:bookmarkEnd w:id="8"/>
      <w:bookmarkEnd w:id="9"/>
      <w:r w:rsidRPr="00014D46">
        <w:t>Report of 3GPP TSG RAN WG2 meeting #122, Incheon, Korea</w:t>
      </w:r>
      <w:bookmarkEnd w:id="10"/>
    </w:p>
    <w:p w14:paraId="4E9075C3" w14:textId="77777777" w:rsidR="002B3356" w:rsidRPr="00032AB7" w:rsidRDefault="002B3356" w:rsidP="002B3356">
      <w:pPr>
        <w:pStyle w:val="BodyText"/>
        <w:numPr>
          <w:ilvl w:val="0"/>
          <w:numId w:val="42"/>
        </w:numPr>
        <w:overflowPunct/>
        <w:autoSpaceDE/>
        <w:autoSpaceDN/>
        <w:adjustRightInd/>
        <w:textAlignment w:val="auto"/>
        <w:rPr>
          <w:rFonts w:eastAsiaTheme="minorEastAsia"/>
        </w:rPr>
      </w:pPr>
      <w:bookmarkStart w:id="14" w:name="_Ref145926769"/>
      <w:r w:rsidRPr="000E7945">
        <w:rPr>
          <w:rFonts w:eastAsiaTheme="minorEastAsia"/>
        </w:rPr>
        <w:t>R2-2308962</w:t>
      </w:r>
      <w:r w:rsidRPr="00032AB7">
        <w:rPr>
          <w:rFonts w:eastAsiaTheme="minorEastAsia"/>
        </w:rPr>
        <w:t xml:space="preserve">, </w:t>
      </w:r>
      <w:r w:rsidRPr="000E7945">
        <w:rPr>
          <w:rFonts w:eastAsiaTheme="minorEastAsia"/>
        </w:rPr>
        <w:t>Report from session on LTE legacy, XR, QoE and Multi-SIM</w:t>
      </w:r>
      <w:r w:rsidRPr="000E7945">
        <w:rPr>
          <w:rFonts w:eastAsiaTheme="minorEastAsia"/>
        </w:rPr>
        <w:tab/>
        <w:t>Vice Chairman (Nokia)</w:t>
      </w:r>
      <w:bookmarkEnd w:id="14"/>
    </w:p>
    <w:p w14:paraId="1A220C2E" w14:textId="2962D08B" w:rsidR="00F81BFD" w:rsidRDefault="002B3356" w:rsidP="00D51295">
      <w:pPr>
        <w:pStyle w:val="BodyText"/>
        <w:numPr>
          <w:ilvl w:val="0"/>
          <w:numId w:val="42"/>
        </w:numPr>
        <w:overflowPunct/>
        <w:autoSpaceDE/>
        <w:autoSpaceDN/>
        <w:adjustRightInd/>
        <w:textAlignment w:val="auto"/>
        <w:rPr>
          <w:rFonts w:eastAsiaTheme="minorEastAsia"/>
        </w:rPr>
      </w:pPr>
      <w:bookmarkStart w:id="15" w:name="_Ref145065907"/>
      <w:bookmarkStart w:id="16" w:name="_Ref145926783"/>
      <w:r w:rsidRPr="00014D46">
        <w:rPr>
          <w:rFonts w:eastAsiaTheme="minorEastAsia"/>
        </w:rPr>
        <w:t xml:space="preserve">R2-2309002, </w:t>
      </w:r>
      <w:bookmarkEnd w:id="15"/>
      <w:r w:rsidRPr="00014D46">
        <w:rPr>
          <w:rFonts w:eastAsiaTheme="minorEastAsia"/>
        </w:rPr>
        <w:t>Report of [AT123][</w:t>
      </w:r>
      <w:proofErr w:type="gramStart"/>
      <w:r w:rsidRPr="00014D46">
        <w:rPr>
          <w:rFonts w:eastAsiaTheme="minorEastAsia"/>
        </w:rPr>
        <w:t>201][</w:t>
      </w:r>
      <w:proofErr w:type="gramEnd"/>
      <w:r w:rsidRPr="00014D46">
        <w:rPr>
          <w:rFonts w:eastAsiaTheme="minorEastAsia"/>
        </w:rPr>
        <w:t>XR] XR MAC CEs (Lenovo )</w:t>
      </w:r>
      <w:bookmarkEnd w:id="11"/>
      <w:bookmarkEnd w:id="12"/>
      <w:bookmarkEnd w:id="13"/>
      <w:bookmarkEnd w:id="16"/>
    </w:p>
    <w:p w14:paraId="4EE726A8" w14:textId="233E8C69" w:rsidR="00842051" w:rsidRPr="00D51295" w:rsidRDefault="00842051" w:rsidP="00D51295">
      <w:pPr>
        <w:pStyle w:val="BodyText"/>
        <w:numPr>
          <w:ilvl w:val="0"/>
          <w:numId w:val="42"/>
        </w:numPr>
        <w:overflowPunct/>
        <w:autoSpaceDE/>
        <w:autoSpaceDN/>
        <w:adjustRightInd/>
        <w:textAlignment w:val="auto"/>
        <w:rPr>
          <w:rFonts w:eastAsiaTheme="minorEastAsia"/>
        </w:rPr>
      </w:pPr>
      <w:r w:rsidRPr="00842051">
        <w:rPr>
          <w:rFonts w:eastAsiaTheme="minorEastAsia"/>
        </w:rPr>
        <w:t>Chair notes for RAN2#123bis</w:t>
      </w:r>
    </w:p>
    <w:sectPr w:rsidR="00842051" w:rsidRPr="00D51295"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38E7B" w14:textId="77777777" w:rsidR="00FA7356" w:rsidRDefault="00FA7356" w:rsidP="00796430">
      <w:r>
        <w:separator/>
      </w:r>
    </w:p>
  </w:endnote>
  <w:endnote w:type="continuationSeparator" w:id="0">
    <w:p w14:paraId="2F27C533" w14:textId="77777777" w:rsidR="00FA7356" w:rsidRDefault="00FA7356"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D4A" w14:textId="2529722C" w:rsidR="00171A40" w:rsidRDefault="00171A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05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05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94BBD" w14:textId="77777777" w:rsidR="00FA7356" w:rsidRDefault="00FA7356" w:rsidP="00796430">
      <w:r>
        <w:separator/>
      </w:r>
    </w:p>
  </w:footnote>
  <w:footnote w:type="continuationSeparator" w:id="0">
    <w:p w14:paraId="589EAC8D" w14:textId="77777777" w:rsidR="00FA7356" w:rsidRDefault="00FA7356"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29C7" w14:textId="77777777" w:rsidR="00171A40" w:rsidRDefault="00171A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88C1EF9"/>
    <w:multiLevelType w:val="hybridMultilevel"/>
    <w:tmpl w:val="E9366C4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CE11D04"/>
    <w:multiLevelType w:val="hybridMultilevel"/>
    <w:tmpl w:val="A26A508E"/>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B324BC1"/>
    <w:multiLevelType w:val="hybridMultilevel"/>
    <w:tmpl w:val="E6AE2FAA"/>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8" w15:restartNumberingAfterBreak="0">
    <w:nsid w:val="5FA3331B"/>
    <w:multiLevelType w:val="hybridMultilevel"/>
    <w:tmpl w:val="A3F21F3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568E5"/>
    <w:multiLevelType w:val="hybridMultilevel"/>
    <w:tmpl w:val="F0F68DC6"/>
    <w:lvl w:ilvl="0" w:tplc="F486479E">
      <w:start w:val="1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6"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EE3B1A"/>
    <w:multiLevelType w:val="hybridMultilevel"/>
    <w:tmpl w:val="21B2EC88"/>
    <w:lvl w:ilvl="0" w:tplc="49FE12AC">
      <w:numFmt w:val="bullet"/>
      <w:lvlText w:val="-"/>
      <w:lvlJc w:val="left"/>
      <w:pPr>
        <w:ind w:left="360" w:hanging="360"/>
      </w:pPr>
      <w:rPr>
        <w:rFonts w:ascii="Times New Roman" w:eastAsia="MS Mincho" w:hAnsi="Times New Roman" w:cs="Times New Roman" w:hint="default"/>
      </w:rPr>
    </w:lvl>
    <w:lvl w:ilvl="1" w:tplc="5C6C2CFC">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1" w15:restartNumberingAfterBreak="0">
    <w:nsid w:val="7A056996"/>
    <w:multiLevelType w:val="hybridMultilevel"/>
    <w:tmpl w:val="F9D05D62"/>
    <w:lvl w:ilvl="0" w:tplc="49FE12AC">
      <w:numFmt w:val="bullet"/>
      <w:lvlText w:val="-"/>
      <w:lvlJc w:val="left"/>
      <w:pPr>
        <w:ind w:left="360" w:hanging="360"/>
      </w:pPr>
      <w:rPr>
        <w:rFonts w:ascii="Times New Roman" w:eastAsia="MS Mincho" w:hAnsi="Times New Roman" w:cs="Times New Roman" w:hint="default"/>
      </w:rPr>
    </w:lvl>
    <w:lvl w:ilvl="1" w:tplc="49FE12AC">
      <w:numFmt w:val="bullet"/>
      <w:lvlText w:val="-"/>
      <w:lvlJc w:val="left"/>
      <w:pPr>
        <w:ind w:left="1080" w:hanging="360"/>
      </w:pPr>
      <w:rPr>
        <w:rFonts w:ascii="Times New Roman" w:eastAsia="MS Mincho"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9"/>
  </w:num>
  <w:num w:numId="3">
    <w:abstractNumId w:val="15"/>
  </w:num>
  <w:num w:numId="4">
    <w:abstractNumId w:val="11"/>
  </w:num>
  <w:num w:numId="5">
    <w:abstractNumId w:val="26"/>
  </w:num>
  <w:num w:numId="6">
    <w:abstractNumId w:val="12"/>
  </w:num>
  <w:num w:numId="7">
    <w:abstractNumId w:val="6"/>
  </w:num>
  <w:num w:numId="8">
    <w:abstractNumId w:val="20"/>
  </w:num>
  <w:num w:numId="9">
    <w:abstractNumId w:val="21"/>
    <w:lvlOverride w:ilvl="0">
      <w:startOverride w:val="1"/>
    </w:lvlOverride>
  </w:num>
  <w:num w:numId="10">
    <w:abstractNumId w:val="5"/>
  </w:num>
  <w:num w:numId="11">
    <w:abstractNumId w:val="18"/>
  </w:num>
  <w:num w:numId="12">
    <w:abstractNumId w:val="42"/>
  </w:num>
  <w:num w:numId="13">
    <w:abstractNumId w:val="9"/>
  </w:num>
  <w:num w:numId="14">
    <w:abstractNumId w:val="35"/>
  </w:num>
  <w:num w:numId="15">
    <w:abstractNumId w:val="32"/>
  </w:num>
  <w:num w:numId="16">
    <w:abstractNumId w:val="0"/>
  </w:num>
  <w:num w:numId="17">
    <w:abstractNumId w:val="40"/>
  </w:num>
  <w:num w:numId="18">
    <w:abstractNumId w:val="27"/>
  </w:num>
  <w:num w:numId="19">
    <w:abstractNumId w:val="14"/>
  </w:num>
  <w:num w:numId="20">
    <w:abstractNumId w:val="39"/>
  </w:num>
  <w:num w:numId="21">
    <w:abstractNumId w:val="3"/>
  </w:num>
  <w:num w:numId="22">
    <w:abstractNumId w:val="2"/>
  </w:num>
  <w:num w:numId="23">
    <w:abstractNumId w:val="8"/>
  </w:num>
  <w:num w:numId="24">
    <w:abstractNumId w:val="36"/>
  </w:num>
  <w:num w:numId="25">
    <w:abstractNumId w:val="22"/>
  </w:num>
  <w:num w:numId="26">
    <w:abstractNumId w:val="38"/>
  </w:num>
  <w:num w:numId="27">
    <w:abstractNumId w:val="24"/>
  </w:num>
  <w:num w:numId="28">
    <w:abstractNumId w:val="23"/>
  </w:num>
  <w:num w:numId="29">
    <w:abstractNumId w:val="29"/>
  </w:num>
  <w:num w:numId="30">
    <w:abstractNumId w:val="13"/>
  </w:num>
  <w:num w:numId="31">
    <w:abstractNumId w:val="30"/>
  </w:num>
  <w:num w:numId="32">
    <w:abstractNumId w:val="31"/>
  </w:num>
  <w:num w:numId="33">
    <w:abstractNumId w:val="10"/>
  </w:num>
  <w:num w:numId="34">
    <w:abstractNumId w:val="37"/>
  </w:num>
  <w:num w:numId="35">
    <w:abstractNumId w:val="28"/>
  </w:num>
  <w:num w:numId="36">
    <w:abstractNumId w:val="4"/>
  </w:num>
  <w:num w:numId="37">
    <w:abstractNumId w:val="33"/>
  </w:num>
  <w:num w:numId="38">
    <w:abstractNumId w:val="41"/>
  </w:num>
  <w:num w:numId="39">
    <w:abstractNumId w:val="7"/>
  </w:num>
  <w:num w:numId="40">
    <w:abstractNumId w:val="34"/>
  </w:num>
  <w:num w:numId="41">
    <w:abstractNumId w:val="25"/>
  </w:num>
  <w:num w:numId="42">
    <w:abstractNumId w:val="16"/>
  </w:num>
  <w:num w:numId="4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07E0B"/>
    <w:rsid w:val="00010408"/>
    <w:rsid w:val="00010DCA"/>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D5E"/>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7CA"/>
    <w:rsid w:val="00027833"/>
    <w:rsid w:val="00027B0E"/>
    <w:rsid w:val="00027CE3"/>
    <w:rsid w:val="00027FFC"/>
    <w:rsid w:val="000303D4"/>
    <w:rsid w:val="00030E5A"/>
    <w:rsid w:val="00031111"/>
    <w:rsid w:val="000315DE"/>
    <w:rsid w:val="00031817"/>
    <w:rsid w:val="00031B95"/>
    <w:rsid w:val="00031BB4"/>
    <w:rsid w:val="00031C6F"/>
    <w:rsid w:val="00031E6D"/>
    <w:rsid w:val="00031FB7"/>
    <w:rsid w:val="00032104"/>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A6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392"/>
    <w:rsid w:val="000579B5"/>
    <w:rsid w:val="00057A31"/>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3FEF"/>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6AAF"/>
    <w:rsid w:val="000871A3"/>
    <w:rsid w:val="000873D8"/>
    <w:rsid w:val="000877C1"/>
    <w:rsid w:val="00087C04"/>
    <w:rsid w:val="00087CAB"/>
    <w:rsid w:val="00087D4F"/>
    <w:rsid w:val="00087EF8"/>
    <w:rsid w:val="000901BE"/>
    <w:rsid w:val="000905CC"/>
    <w:rsid w:val="00090BB2"/>
    <w:rsid w:val="00090BD8"/>
    <w:rsid w:val="00091137"/>
    <w:rsid w:val="00091235"/>
    <w:rsid w:val="000915DC"/>
    <w:rsid w:val="000917D0"/>
    <w:rsid w:val="0009197B"/>
    <w:rsid w:val="000919B3"/>
    <w:rsid w:val="0009213D"/>
    <w:rsid w:val="000925F5"/>
    <w:rsid w:val="000927B0"/>
    <w:rsid w:val="00093146"/>
    <w:rsid w:val="00093459"/>
    <w:rsid w:val="000937BF"/>
    <w:rsid w:val="000938F1"/>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3D2"/>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64B"/>
    <w:rsid w:val="000D0D23"/>
    <w:rsid w:val="000D0E0A"/>
    <w:rsid w:val="000D1807"/>
    <w:rsid w:val="000D216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6CB2"/>
    <w:rsid w:val="000D7034"/>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0D"/>
    <w:rsid w:val="000F0028"/>
    <w:rsid w:val="000F0A36"/>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D0A"/>
    <w:rsid w:val="000F4E5C"/>
    <w:rsid w:val="000F4FF8"/>
    <w:rsid w:val="000F53BB"/>
    <w:rsid w:val="000F5515"/>
    <w:rsid w:val="000F560F"/>
    <w:rsid w:val="000F57A5"/>
    <w:rsid w:val="000F6238"/>
    <w:rsid w:val="000F629F"/>
    <w:rsid w:val="000F65F0"/>
    <w:rsid w:val="000F686C"/>
    <w:rsid w:val="000F6CC0"/>
    <w:rsid w:val="000F6D4F"/>
    <w:rsid w:val="000F7153"/>
    <w:rsid w:val="000F72B0"/>
    <w:rsid w:val="000F74A4"/>
    <w:rsid w:val="000F74AB"/>
    <w:rsid w:val="000F7A3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A93"/>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8F1"/>
    <w:rsid w:val="00114A8D"/>
    <w:rsid w:val="00114AAE"/>
    <w:rsid w:val="00114AED"/>
    <w:rsid w:val="0011515F"/>
    <w:rsid w:val="00115357"/>
    <w:rsid w:val="001155F7"/>
    <w:rsid w:val="001159D3"/>
    <w:rsid w:val="00115B4D"/>
    <w:rsid w:val="00115E92"/>
    <w:rsid w:val="00115EA7"/>
    <w:rsid w:val="001169A5"/>
    <w:rsid w:val="00116D38"/>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4750"/>
    <w:rsid w:val="00134A11"/>
    <w:rsid w:val="00135F99"/>
    <w:rsid w:val="0013618E"/>
    <w:rsid w:val="001364F2"/>
    <w:rsid w:val="001369F8"/>
    <w:rsid w:val="001378A4"/>
    <w:rsid w:val="00137972"/>
    <w:rsid w:val="00137E34"/>
    <w:rsid w:val="001401CE"/>
    <w:rsid w:val="001409C2"/>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45E"/>
    <w:rsid w:val="00145567"/>
    <w:rsid w:val="0014562D"/>
    <w:rsid w:val="0014574E"/>
    <w:rsid w:val="00145A27"/>
    <w:rsid w:val="00145D83"/>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0D91"/>
    <w:rsid w:val="001513C7"/>
    <w:rsid w:val="00151590"/>
    <w:rsid w:val="0015188D"/>
    <w:rsid w:val="00151AF9"/>
    <w:rsid w:val="00151C96"/>
    <w:rsid w:val="00151FF4"/>
    <w:rsid w:val="00152205"/>
    <w:rsid w:val="0015233E"/>
    <w:rsid w:val="0015236F"/>
    <w:rsid w:val="00152C44"/>
    <w:rsid w:val="00152E25"/>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5A0"/>
    <w:rsid w:val="00161B60"/>
    <w:rsid w:val="00161C6F"/>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67EEA"/>
    <w:rsid w:val="001701FD"/>
    <w:rsid w:val="00170287"/>
    <w:rsid w:val="00170755"/>
    <w:rsid w:val="001707B8"/>
    <w:rsid w:val="00170871"/>
    <w:rsid w:val="00170FAD"/>
    <w:rsid w:val="00171389"/>
    <w:rsid w:val="001714EB"/>
    <w:rsid w:val="001717DB"/>
    <w:rsid w:val="00171A40"/>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B73"/>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87FE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B0B"/>
    <w:rsid w:val="00194EA5"/>
    <w:rsid w:val="001951F2"/>
    <w:rsid w:val="00195206"/>
    <w:rsid w:val="0019550D"/>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9"/>
    <w:rsid w:val="001A55BA"/>
    <w:rsid w:val="001A5FED"/>
    <w:rsid w:val="001A6416"/>
    <w:rsid w:val="001A6549"/>
    <w:rsid w:val="001A67E0"/>
    <w:rsid w:val="001A6829"/>
    <w:rsid w:val="001A6990"/>
    <w:rsid w:val="001A6ABD"/>
    <w:rsid w:val="001A7456"/>
    <w:rsid w:val="001A754A"/>
    <w:rsid w:val="001A7886"/>
    <w:rsid w:val="001A7B00"/>
    <w:rsid w:val="001A7B6A"/>
    <w:rsid w:val="001A7C45"/>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0D0"/>
    <w:rsid w:val="001C1245"/>
    <w:rsid w:val="001C141A"/>
    <w:rsid w:val="001C162E"/>
    <w:rsid w:val="001C1B8F"/>
    <w:rsid w:val="001C1E47"/>
    <w:rsid w:val="001C2ECB"/>
    <w:rsid w:val="001C443E"/>
    <w:rsid w:val="001C4C36"/>
    <w:rsid w:val="001C510A"/>
    <w:rsid w:val="001C53C8"/>
    <w:rsid w:val="001C54D8"/>
    <w:rsid w:val="001C5544"/>
    <w:rsid w:val="001C609D"/>
    <w:rsid w:val="001C6103"/>
    <w:rsid w:val="001C61F0"/>
    <w:rsid w:val="001C6295"/>
    <w:rsid w:val="001C7102"/>
    <w:rsid w:val="001C710B"/>
    <w:rsid w:val="001C7805"/>
    <w:rsid w:val="001C7855"/>
    <w:rsid w:val="001C7B4E"/>
    <w:rsid w:val="001C7CE5"/>
    <w:rsid w:val="001C7D75"/>
    <w:rsid w:val="001C7D7F"/>
    <w:rsid w:val="001C7F72"/>
    <w:rsid w:val="001D0080"/>
    <w:rsid w:val="001D0254"/>
    <w:rsid w:val="001D055B"/>
    <w:rsid w:val="001D09E3"/>
    <w:rsid w:val="001D0AD5"/>
    <w:rsid w:val="001D0B23"/>
    <w:rsid w:val="001D14B8"/>
    <w:rsid w:val="001D23AA"/>
    <w:rsid w:val="001D243D"/>
    <w:rsid w:val="001D256E"/>
    <w:rsid w:val="001D288D"/>
    <w:rsid w:val="001D3164"/>
    <w:rsid w:val="001D3183"/>
    <w:rsid w:val="001D34D8"/>
    <w:rsid w:val="001D3744"/>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5F75"/>
    <w:rsid w:val="001D667A"/>
    <w:rsid w:val="001D6959"/>
    <w:rsid w:val="001D6C55"/>
    <w:rsid w:val="001D6F2C"/>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82D"/>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DC0"/>
    <w:rsid w:val="001F75AB"/>
    <w:rsid w:val="002001C2"/>
    <w:rsid w:val="002007E1"/>
    <w:rsid w:val="002009FD"/>
    <w:rsid w:val="00200C8C"/>
    <w:rsid w:val="00200D6A"/>
    <w:rsid w:val="00200DD2"/>
    <w:rsid w:val="00201173"/>
    <w:rsid w:val="00201439"/>
    <w:rsid w:val="00201D00"/>
    <w:rsid w:val="00201EE2"/>
    <w:rsid w:val="002023F2"/>
    <w:rsid w:val="0020275A"/>
    <w:rsid w:val="00202842"/>
    <w:rsid w:val="0020287F"/>
    <w:rsid w:val="00202A9B"/>
    <w:rsid w:val="00202B63"/>
    <w:rsid w:val="00202C18"/>
    <w:rsid w:val="00202CB1"/>
    <w:rsid w:val="002031AA"/>
    <w:rsid w:val="0020321C"/>
    <w:rsid w:val="0020328F"/>
    <w:rsid w:val="0020347F"/>
    <w:rsid w:val="002034A8"/>
    <w:rsid w:val="00203E8B"/>
    <w:rsid w:val="00203EB9"/>
    <w:rsid w:val="00204126"/>
    <w:rsid w:val="0020426D"/>
    <w:rsid w:val="002049D3"/>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B"/>
    <w:rsid w:val="00214ADC"/>
    <w:rsid w:val="00214B53"/>
    <w:rsid w:val="00214C49"/>
    <w:rsid w:val="00215079"/>
    <w:rsid w:val="002150FD"/>
    <w:rsid w:val="002153BE"/>
    <w:rsid w:val="002157AF"/>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8B9"/>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6F88"/>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0CDD"/>
    <w:rsid w:val="0024100F"/>
    <w:rsid w:val="002412F5"/>
    <w:rsid w:val="0024161D"/>
    <w:rsid w:val="002424F5"/>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C5B"/>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065"/>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DA0"/>
    <w:rsid w:val="00266440"/>
    <w:rsid w:val="00266700"/>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90"/>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0782"/>
    <w:rsid w:val="00280DB3"/>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77"/>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C9D"/>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8AB"/>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356"/>
    <w:rsid w:val="002B3CDB"/>
    <w:rsid w:val="002B437B"/>
    <w:rsid w:val="002B4758"/>
    <w:rsid w:val="002B49AE"/>
    <w:rsid w:val="002B4E1B"/>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537"/>
    <w:rsid w:val="002C260C"/>
    <w:rsid w:val="002C26F3"/>
    <w:rsid w:val="002C31A1"/>
    <w:rsid w:val="002C32FF"/>
    <w:rsid w:val="002C35B5"/>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DDE"/>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DC6"/>
    <w:rsid w:val="002D6E72"/>
    <w:rsid w:val="002D73AB"/>
    <w:rsid w:val="002D75A9"/>
    <w:rsid w:val="002D7EB1"/>
    <w:rsid w:val="002E0450"/>
    <w:rsid w:val="002E08C4"/>
    <w:rsid w:val="002E0BA9"/>
    <w:rsid w:val="002E0F83"/>
    <w:rsid w:val="002E1112"/>
    <w:rsid w:val="002E1248"/>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53A"/>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B1"/>
    <w:rsid w:val="002F24BE"/>
    <w:rsid w:val="002F2559"/>
    <w:rsid w:val="002F3008"/>
    <w:rsid w:val="002F3040"/>
    <w:rsid w:val="002F3294"/>
    <w:rsid w:val="002F34AB"/>
    <w:rsid w:val="002F370C"/>
    <w:rsid w:val="002F4506"/>
    <w:rsid w:val="002F4578"/>
    <w:rsid w:val="002F47BF"/>
    <w:rsid w:val="002F47CF"/>
    <w:rsid w:val="002F5891"/>
    <w:rsid w:val="002F5FB6"/>
    <w:rsid w:val="002F6505"/>
    <w:rsid w:val="002F6B3F"/>
    <w:rsid w:val="002F6F19"/>
    <w:rsid w:val="002F702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89"/>
    <w:rsid w:val="003053D7"/>
    <w:rsid w:val="00305447"/>
    <w:rsid w:val="003059C3"/>
    <w:rsid w:val="00305C53"/>
    <w:rsid w:val="003060F2"/>
    <w:rsid w:val="0030679C"/>
    <w:rsid w:val="00306894"/>
    <w:rsid w:val="00306A89"/>
    <w:rsid w:val="00306CFB"/>
    <w:rsid w:val="00306D81"/>
    <w:rsid w:val="00306E0B"/>
    <w:rsid w:val="003070BA"/>
    <w:rsid w:val="003072B9"/>
    <w:rsid w:val="00307708"/>
    <w:rsid w:val="00307757"/>
    <w:rsid w:val="0030775C"/>
    <w:rsid w:val="0030787F"/>
    <w:rsid w:val="00307987"/>
    <w:rsid w:val="00307B6B"/>
    <w:rsid w:val="00307C2F"/>
    <w:rsid w:val="003101CE"/>
    <w:rsid w:val="003101FF"/>
    <w:rsid w:val="0031049B"/>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159B"/>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6C1"/>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8D5"/>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3BB"/>
    <w:rsid w:val="003674B4"/>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77F10"/>
    <w:rsid w:val="003801B8"/>
    <w:rsid w:val="0038059B"/>
    <w:rsid w:val="0038088A"/>
    <w:rsid w:val="003812FB"/>
    <w:rsid w:val="00381569"/>
    <w:rsid w:val="0038173B"/>
    <w:rsid w:val="00381F67"/>
    <w:rsid w:val="003820FC"/>
    <w:rsid w:val="0038212D"/>
    <w:rsid w:val="00382316"/>
    <w:rsid w:val="00382336"/>
    <w:rsid w:val="003826FA"/>
    <w:rsid w:val="00382708"/>
    <w:rsid w:val="003827DB"/>
    <w:rsid w:val="00382CD0"/>
    <w:rsid w:val="00382FFE"/>
    <w:rsid w:val="003832BA"/>
    <w:rsid w:val="00383B97"/>
    <w:rsid w:val="00383EBA"/>
    <w:rsid w:val="0038448A"/>
    <w:rsid w:val="003844EF"/>
    <w:rsid w:val="00384976"/>
    <w:rsid w:val="00384D6C"/>
    <w:rsid w:val="00384E43"/>
    <w:rsid w:val="0038505C"/>
    <w:rsid w:val="00385374"/>
    <w:rsid w:val="003853A2"/>
    <w:rsid w:val="00385528"/>
    <w:rsid w:val="003855AB"/>
    <w:rsid w:val="00385923"/>
    <w:rsid w:val="00385AC2"/>
    <w:rsid w:val="0038645A"/>
    <w:rsid w:val="00386540"/>
    <w:rsid w:val="00386847"/>
    <w:rsid w:val="00386966"/>
    <w:rsid w:val="003869FC"/>
    <w:rsid w:val="00386A42"/>
    <w:rsid w:val="00386BBB"/>
    <w:rsid w:val="00386C52"/>
    <w:rsid w:val="00386F17"/>
    <w:rsid w:val="003873AF"/>
    <w:rsid w:val="00387553"/>
    <w:rsid w:val="003875C2"/>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09"/>
    <w:rsid w:val="003959A2"/>
    <w:rsid w:val="00395A08"/>
    <w:rsid w:val="00395C12"/>
    <w:rsid w:val="003960E3"/>
    <w:rsid w:val="003967F0"/>
    <w:rsid w:val="00396E41"/>
    <w:rsid w:val="003970B5"/>
    <w:rsid w:val="0039711C"/>
    <w:rsid w:val="003972D1"/>
    <w:rsid w:val="003978FA"/>
    <w:rsid w:val="0039794B"/>
    <w:rsid w:val="003A0193"/>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10"/>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8C4"/>
    <w:rsid w:val="003C6FFA"/>
    <w:rsid w:val="003D0106"/>
    <w:rsid w:val="003D030B"/>
    <w:rsid w:val="003D039E"/>
    <w:rsid w:val="003D0565"/>
    <w:rsid w:val="003D0A6F"/>
    <w:rsid w:val="003D0E73"/>
    <w:rsid w:val="003D0EC2"/>
    <w:rsid w:val="003D15CB"/>
    <w:rsid w:val="003D18AB"/>
    <w:rsid w:val="003D1F3B"/>
    <w:rsid w:val="003D259F"/>
    <w:rsid w:val="003D25AE"/>
    <w:rsid w:val="003D2A5D"/>
    <w:rsid w:val="003D2D48"/>
    <w:rsid w:val="003D340F"/>
    <w:rsid w:val="003D4CE8"/>
    <w:rsid w:val="003D525E"/>
    <w:rsid w:val="003D5BA5"/>
    <w:rsid w:val="003D615C"/>
    <w:rsid w:val="003D64F5"/>
    <w:rsid w:val="003D6A98"/>
    <w:rsid w:val="003D6D5F"/>
    <w:rsid w:val="003D7216"/>
    <w:rsid w:val="003D736B"/>
    <w:rsid w:val="003E0012"/>
    <w:rsid w:val="003E00B5"/>
    <w:rsid w:val="003E02FF"/>
    <w:rsid w:val="003E03BC"/>
    <w:rsid w:val="003E05D7"/>
    <w:rsid w:val="003E080C"/>
    <w:rsid w:val="003E0DFF"/>
    <w:rsid w:val="003E10DA"/>
    <w:rsid w:val="003E1599"/>
    <w:rsid w:val="003E1C0F"/>
    <w:rsid w:val="003E1D99"/>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6F6"/>
    <w:rsid w:val="003E7CE4"/>
    <w:rsid w:val="003E7CF8"/>
    <w:rsid w:val="003F0005"/>
    <w:rsid w:val="003F00BF"/>
    <w:rsid w:val="003F0318"/>
    <w:rsid w:val="003F05D2"/>
    <w:rsid w:val="003F07E8"/>
    <w:rsid w:val="003F14E6"/>
    <w:rsid w:val="003F18C1"/>
    <w:rsid w:val="003F19D5"/>
    <w:rsid w:val="003F1FF9"/>
    <w:rsid w:val="003F225C"/>
    <w:rsid w:val="003F22B4"/>
    <w:rsid w:val="003F244C"/>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250"/>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11C"/>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56DD"/>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9B4"/>
    <w:rsid w:val="00426B55"/>
    <w:rsid w:val="00426DC9"/>
    <w:rsid w:val="00426FCB"/>
    <w:rsid w:val="0042734F"/>
    <w:rsid w:val="0042735B"/>
    <w:rsid w:val="00427B5F"/>
    <w:rsid w:val="00427C68"/>
    <w:rsid w:val="00430322"/>
    <w:rsid w:val="004309D2"/>
    <w:rsid w:val="00430D9A"/>
    <w:rsid w:val="00431781"/>
    <w:rsid w:val="00432170"/>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4E7F"/>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9C0"/>
    <w:rsid w:val="00463A1C"/>
    <w:rsid w:val="00463C88"/>
    <w:rsid w:val="00463E20"/>
    <w:rsid w:val="00463E8A"/>
    <w:rsid w:val="0046450E"/>
    <w:rsid w:val="004646FB"/>
    <w:rsid w:val="0046479E"/>
    <w:rsid w:val="00464979"/>
    <w:rsid w:val="004654D3"/>
    <w:rsid w:val="004659B7"/>
    <w:rsid w:val="00465EFB"/>
    <w:rsid w:val="0046629E"/>
    <w:rsid w:val="004665B2"/>
    <w:rsid w:val="00466753"/>
    <w:rsid w:val="00466E00"/>
    <w:rsid w:val="00467029"/>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ADB"/>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A051A"/>
    <w:rsid w:val="004A0639"/>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DD8"/>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98"/>
    <w:rsid w:val="004C76CC"/>
    <w:rsid w:val="004C76F8"/>
    <w:rsid w:val="004C7979"/>
    <w:rsid w:val="004C7C90"/>
    <w:rsid w:val="004D05F5"/>
    <w:rsid w:val="004D171B"/>
    <w:rsid w:val="004D174E"/>
    <w:rsid w:val="004D1A66"/>
    <w:rsid w:val="004D21DA"/>
    <w:rsid w:val="004D2C32"/>
    <w:rsid w:val="004D3442"/>
    <w:rsid w:val="004D3A5F"/>
    <w:rsid w:val="004D3DCB"/>
    <w:rsid w:val="004D3FAA"/>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D4F"/>
    <w:rsid w:val="004E7F73"/>
    <w:rsid w:val="004F037A"/>
    <w:rsid w:val="004F0726"/>
    <w:rsid w:val="004F09D7"/>
    <w:rsid w:val="004F0F8A"/>
    <w:rsid w:val="004F14B2"/>
    <w:rsid w:val="004F15B5"/>
    <w:rsid w:val="004F1812"/>
    <w:rsid w:val="004F1853"/>
    <w:rsid w:val="004F1897"/>
    <w:rsid w:val="004F199F"/>
    <w:rsid w:val="004F1A7B"/>
    <w:rsid w:val="004F269F"/>
    <w:rsid w:val="004F2774"/>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A17"/>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CD"/>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7CF"/>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2B7"/>
    <w:rsid w:val="0053241E"/>
    <w:rsid w:val="00532616"/>
    <w:rsid w:val="0053297B"/>
    <w:rsid w:val="00532B65"/>
    <w:rsid w:val="00532C20"/>
    <w:rsid w:val="00532CBC"/>
    <w:rsid w:val="00532D0D"/>
    <w:rsid w:val="00532FDC"/>
    <w:rsid w:val="0053309B"/>
    <w:rsid w:val="00533271"/>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3009"/>
    <w:rsid w:val="00553538"/>
    <w:rsid w:val="0055367C"/>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123"/>
    <w:rsid w:val="005A6658"/>
    <w:rsid w:val="005A66CB"/>
    <w:rsid w:val="005A6720"/>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33E"/>
    <w:rsid w:val="005C458B"/>
    <w:rsid w:val="005C4591"/>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F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3B1E"/>
    <w:rsid w:val="005F43DE"/>
    <w:rsid w:val="005F483F"/>
    <w:rsid w:val="005F4853"/>
    <w:rsid w:val="005F4B97"/>
    <w:rsid w:val="005F4C51"/>
    <w:rsid w:val="005F4E56"/>
    <w:rsid w:val="005F52E9"/>
    <w:rsid w:val="005F53E9"/>
    <w:rsid w:val="005F5ADC"/>
    <w:rsid w:val="005F5BB1"/>
    <w:rsid w:val="005F5D0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4A"/>
    <w:rsid w:val="00611AFB"/>
    <w:rsid w:val="00611D7D"/>
    <w:rsid w:val="006125BB"/>
    <w:rsid w:val="0061367F"/>
    <w:rsid w:val="006136F4"/>
    <w:rsid w:val="006138BC"/>
    <w:rsid w:val="00613A83"/>
    <w:rsid w:val="0061487E"/>
    <w:rsid w:val="0061499A"/>
    <w:rsid w:val="00614A54"/>
    <w:rsid w:val="00614B6C"/>
    <w:rsid w:val="00614F59"/>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D80"/>
    <w:rsid w:val="00627E61"/>
    <w:rsid w:val="00630269"/>
    <w:rsid w:val="006305CB"/>
    <w:rsid w:val="0063066A"/>
    <w:rsid w:val="00630696"/>
    <w:rsid w:val="0063074C"/>
    <w:rsid w:val="00630817"/>
    <w:rsid w:val="00630830"/>
    <w:rsid w:val="0063103C"/>
    <w:rsid w:val="0063178D"/>
    <w:rsid w:val="00631A3E"/>
    <w:rsid w:val="00632AE5"/>
    <w:rsid w:val="00633026"/>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AEC"/>
    <w:rsid w:val="00650B62"/>
    <w:rsid w:val="00650E6B"/>
    <w:rsid w:val="00651E7B"/>
    <w:rsid w:val="0065241E"/>
    <w:rsid w:val="00652667"/>
    <w:rsid w:val="0065287A"/>
    <w:rsid w:val="00652AFE"/>
    <w:rsid w:val="00652C81"/>
    <w:rsid w:val="00652DB2"/>
    <w:rsid w:val="00653137"/>
    <w:rsid w:val="006531EC"/>
    <w:rsid w:val="006533C4"/>
    <w:rsid w:val="0065353E"/>
    <w:rsid w:val="00653555"/>
    <w:rsid w:val="0065368E"/>
    <w:rsid w:val="00653D69"/>
    <w:rsid w:val="00653E18"/>
    <w:rsid w:val="00653F38"/>
    <w:rsid w:val="006542F3"/>
    <w:rsid w:val="00654C1B"/>
    <w:rsid w:val="00654D23"/>
    <w:rsid w:val="006551BA"/>
    <w:rsid w:val="00655A19"/>
    <w:rsid w:val="00655B05"/>
    <w:rsid w:val="00655CD7"/>
    <w:rsid w:val="00656331"/>
    <w:rsid w:val="006563C3"/>
    <w:rsid w:val="0065671B"/>
    <w:rsid w:val="0065692D"/>
    <w:rsid w:val="00656D89"/>
    <w:rsid w:val="00656DB2"/>
    <w:rsid w:val="00656ED9"/>
    <w:rsid w:val="00657440"/>
    <w:rsid w:val="00657853"/>
    <w:rsid w:val="00657A2A"/>
    <w:rsid w:val="00657E7D"/>
    <w:rsid w:val="00657ED8"/>
    <w:rsid w:val="00657FF2"/>
    <w:rsid w:val="00660236"/>
    <w:rsid w:val="0066053E"/>
    <w:rsid w:val="006608AC"/>
    <w:rsid w:val="00660AB1"/>
    <w:rsid w:val="0066103B"/>
    <w:rsid w:val="00661467"/>
    <w:rsid w:val="00661B67"/>
    <w:rsid w:val="00661C5F"/>
    <w:rsid w:val="00661EFA"/>
    <w:rsid w:val="00662431"/>
    <w:rsid w:val="00662828"/>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017"/>
    <w:rsid w:val="0067325B"/>
    <w:rsid w:val="006732CF"/>
    <w:rsid w:val="0067331B"/>
    <w:rsid w:val="00673419"/>
    <w:rsid w:val="006734FC"/>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447A"/>
    <w:rsid w:val="00694EF2"/>
    <w:rsid w:val="00695502"/>
    <w:rsid w:val="006958FC"/>
    <w:rsid w:val="006962E3"/>
    <w:rsid w:val="0069646F"/>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6FB7"/>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6D9"/>
    <w:rsid w:val="006B4A74"/>
    <w:rsid w:val="006B558D"/>
    <w:rsid w:val="006B5735"/>
    <w:rsid w:val="006B5E5B"/>
    <w:rsid w:val="006B6316"/>
    <w:rsid w:val="006B65DA"/>
    <w:rsid w:val="006B687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0A7"/>
    <w:rsid w:val="006C1196"/>
    <w:rsid w:val="006C1552"/>
    <w:rsid w:val="006C162E"/>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86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853"/>
    <w:rsid w:val="006D1C71"/>
    <w:rsid w:val="006D1DDC"/>
    <w:rsid w:val="006D1EE5"/>
    <w:rsid w:val="006D2696"/>
    <w:rsid w:val="006D2B24"/>
    <w:rsid w:val="006D2C8E"/>
    <w:rsid w:val="006D3028"/>
    <w:rsid w:val="006D35BB"/>
    <w:rsid w:val="006D3642"/>
    <w:rsid w:val="006D3808"/>
    <w:rsid w:val="006D3B9D"/>
    <w:rsid w:val="006D46C9"/>
    <w:rsid w:val="006D4A42"/>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6A6"/>
    <w:rsid w:val="006D7F65"/>
    <w:rsid w:val="006E00F9"/>
    <w:rsid w:val="006E0BF4"/>
    <w:rsid w:val="006E1210"/>
    <w:rsid w:val="006E1228"/>
    <w:rsid w:val="006E122C"/>
    <w:rsid w:val="006E126F"/>
    <w:rsid w:val="006E1499"/>
    <w:rsid w:val="006E14C4"/>
    <w:rsid w:val="006E1667"/>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4B"/>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C91"/>
    <w:rsid w:val="00701FED"/>
    <w:rsid w:val="007022ED"/>
    <w:rsid w:val="007023EE"/>
    <w:rsid w:val="007026EC"/>
    <w:rsid w:val="00702F24"/>
    <w:rsid w:val="007031F8"/>
    <w:rsid w:val="00703599"/>
    <w:rsid w:val="00703710"/>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0A4"/>
    <w:rsid w:val="007126F6"/>
    <w:rsid w:val="00712AD0"/>
    <w:rsid w:val="00713787"/>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351"/>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7F4"/>
    <w:rsid w:val="0073788C"/>
    <w:rsid w:val="00737BB5"/>
    <w:rsid w:val="007402BD"/>
    <w:rsid w:val="0074038A"/>
    <w:rsid w:val="007408D7"/>
    <w:rsid w:val="00740F0B"/>
    <w:rsid w:val="007410E2"/>
    <w:rsid w:val="00741343"/>
    <w:rsid w:val="0074158D"/>
    <w:rsid w:val="007417E8"/>
    <w:rsid w:val="00741936"/>
    <w:rsid w:val="00741B55"/>
    <w:rsid w:val="00741DF9"/>
    <w:rsid w:val="00741E4D"/>
    <w:rsid w:val="0074271E"/>
    <w:rsid w:val="00743632"/>
    <w:rsid w:val="007437B9"/>
    <w:rsid w:val="00743B97"/>
    <w:rsid w:val="00743BE2"/>
    <w:rsid w:val="00743C42"/>
    <w:rsid w:val="00743C66"/>
    <w:rsid w:val="00743F4D"/>
    <w:rsid w:val="0074419D"/>
    <w:rsid w:val="00744339"/>
    <w:rsid w:val="0074434D"/>
    <w:rsid w:val="00744E13"/>
    <w:rsid w:val="00744FE0"/>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970"/>
    <w:rsid w:val="00755A31"/>
    <w:rsid w:val="00755B59"/>
    <w:rsid w:val="00755C3B"/>
    <w:rsid w:val="00755EEB"/>
    <w:rsid w:val="007562EB"/>
    <w:rsid w:val="007563E0"/>
    <w:rsid w:val="00756743"/>
    <w:rsid w:val="00756D69"/>
    <w:rsid w:val="00756F69"/>
    <w:rsid w:val="007573F6"/>
    <w:rsid w:val="007574D0"/>
    <w:rsid w:val="00757E90"/>
    <w:rsid w:val="007600E4"/>
    <w:rsid w:val="007604E9"/>
    <w:rsid w:val="00760739"/>
    <w:rsid w:val="00760BFB"/>
    <w:rsid w:val="00761242"/>
    <w:rsid w:val="00761C40"/>
    <w:rsid w:val="00761CE3"/>
    <w:rsid w:val="00762648"/>
    <w:rsid w:val="00762789"/>
    <w:rsid w:val="00763B7A"/>
    <w:rsid w:val="00763B7F"/>
    <w:rsid w:val="00764044"/>
    <w:rsid w:val="00764274"/>
    <w:rsid w:val="00764892"/>
    <w:rsid w:val="00764BBB"/>
    <w:rsid w:val="00764E96"/>
    <w:rsid w:val="007650F9"/>
    <w:rsid w:val="007657EE"/>
    <w:rsid w:val="0076585E"/>
    <w:rsid w:val="00765AD2"/>
    <w:rsid w:val="0076622B"/>
    <w:rsid w:val="00766365"/>
    <w:rsid w:val="00766394"/>
    <w:rsid w:val="00766633"/>
    <w:rsid w:val="007668BB"/>
    <w:rsid w:val="00766941"/>
    <w:rsid w:val="00767F6F"/>
    <w:rsid w:val="00770789"/>
    <w:rsid w:val="00770853"/>
    <w:rsid w:val="00770B33"/>
    <w:rsid w:val="00770C86"/>
    <w:rsid w:val="00770CC5"/>
    <w:rsid w:val="00770DCE"/>
    <w:rsid w:val="00771279"/>
    <w:rsid w:val="007715BC"/>
    <w:rsid w:val="00771670"/>
    <w:rsid w:val="00771BE7"/>
    <w:rsid w:val="00771E7D"/>
    <w:rsid w:val="00771FFE"/>
    <w:rsid w:val="00772122"/>
    <w:rsid w:val="0077221D"/>
    <w:rsid w:val="00772A2A"/>
    <w:rsid w:val="00772A77"/>
    <w:rsid w:val="00772D1B"/>
    <w:rsid w:val="007733E0"/>
    <w:rsid w:val="00773500"/>
    <w:rsid w:val="00773588"/>
    <w:rsid w:val="007738CA"/>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8D6"/>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1F5"/>
    <w:rsid w:val="0078534A"/>
    <w:rsid w:val="0078562F"/>
    <w:rsid w:val="00785652"/>
    <w:rsid w:val="00785725"/>
    <w:rsid w:val="007857EB"/>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1FB"/>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C12"/>
    <w:rsid w:val="00795E37"/>
    <w:rsid w:val="00796048"/>
    <w:rsid w:val="00796068"/>
    <w:rsid w:val="007960F4"/>
    <w:rsid w:val="00796430"/>
    <w:rsid w:val="00796CA4"/>
    <w:rsid w:val="007975DA"/>
    <w:rsid w:val="007977D0"/>
    <w:rsid w:val="007A0117"/>
    <w:rsid w:val="007A024B"/>
    <w:rsid w:val="007A02A1"/>
    <w:rsid w:val="007A0867"/>
    <w:rsid w:val="007A0E1D"/>
    <w:rsid w:val="007A1198"/>
    <w:rsid w:val="007A1509"/>
    <w:rsid w:val="007A17BC"/>
    <w:rsid w:val="007A1890"/>
    <w:rsid w:val="007A1940"/>
    <w:rsid w:val="007A1E09"/>
    <w:rsid w:val="007A1E31"/>
    <w:rsid w:val="007A1F07"/>
    <w:rsid w:val="007A21A7"/>
    <w:rsid w:val="007A2A0C"/>
    <w:rsid w:val="007A2E03"/>
    <w:rsid w:val="007A34F3"/>
    <w:rsid w:val="007A3537"/>
    <w:rsid w:val="007A359C"/>
    <w:rsid w:val="007A35BE"/>
    <w:rsid w:val="007A3844"/>
    <w:rsid w:val="007A38D1"/>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3A"/>
    <w:rsid w:val="007B08AD"/>
    <w:rsid w:val="007B09B6"/>
    <w:rsid w:val="007B0D65"/>
    <w:rsid w:val="007B1773"/>
    <w:rsid w:val="007B1890"/>
    <w:rsid w:val="007B1A27"/>
    <w:rsid w:val="007B1C7F"/>
    <w:rsid w:val="007B208A"/>
    <w:rsid w:val="007B2492"/>
    <w:rsid w:val="007B2B32"/>
    <w:rsid w:val="007B2FB6"/>
    <w:rsid w:val="007B384C"/>
    <w:rsid w:val="007B3886"/>
    <w:rsid w:val="007B3948"/>
    <w:rsid w:val="007B4354"/>
    <w:rsid w:val="007B479C"/>
    <w:rsid w:val="007B4E3C"/>
    <w:rsid w:val="007B4F9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9EB"/>
    <w:rsid w:val="007B7E60"/>
    <w:rsid w:val="007C0757"/>
    <w:rsid w:val="007C0CEF"/>
    <w:rsid w:val="007C11D5"/>
    <w:rsid w:val="007C1325"/>
    <w:rsid w:val="007C13D4"/>
    <w:rsid w:val="007C17AC"/>
    <w:rsid w:val="007C1AA4"/>
    <w:rsid w:val="007C1C7E"/>
    <w:rsid w:val="007C29B4"/>
    <w:rsid w:val="007C329C"/>
    <w:rsid w:val="007C33CB"/>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40C"/>
    <w:rsid w:val="007C7EAB"/>
    <w:rsid w:val="007D015E"/>
    <w:rsid w:val="007D0395"/>
    <w:rsid w:val="007D0C49"/>
    <w:rsid w:val="007D1325"/>
    <w:rsid w:val="007D1764"/>
    <w:rsid w:val="007D1A13"/>
    <w:rsid w:val="007D1DD3"/>
    <w:rsid w:val="007D20CF"/>
    <w:rsid w:val="007D30D3"/>
    <w:rsid w:val="007D3125"/>
    <w:rsid w:val="007D312C"/>
    <w:rsid w:val="007D3418"/>
    <w:rsid w:val="007D345E"/>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6929"/>
    <w:rsid w:val="007D69E7"/>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9B2"/>
    <w:rsid w:val="007F1D3F"/>
    <w:rsid w:val="007F26F5"/>
    <w:rsid w:val="007F29C3"/>
    <w:rsid w:val="007F2B3B"/>
    <w:rsid w:val="007F2F75"/>
    <w:rsid w:val="007F3179"/>
    <w:rsid w:val="007F321A"/>
    <w:rsid w:val="007F340E"/>
    <w:rsid w:val="007F3521"/>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699"/>
    <w:rsid w:val="00800AA6"/>
    <w:rsid w:val="00800F86"/>
    <w:rsid w:val="008012CE"/>
    <w:rsid w:val="0080168E"/>
    <w:rsid w:val="008016F4"/>
    <w:rsid w:val="00801F57"/>
    <w:rsid w:val="008020AD"/>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C0"/>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A14"/>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2051"/>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71F"/>
    <w:rsid w:val="00845DBB"/>
    <w:rsid w:val="00845F74"/>
    <w:rsid w:val="00846168"/>
    <w:rsid w:val="008463A3"/>
    <w:rsid w:val="00846A28"/>
    <w:rsid w:val="00846A29"/>
    <w:rsid w:val="00846E73"/>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3B1F"/>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263E"/>
    <w:rsid w:val="008629E3"/>
    <w:rsid w:val="00862BB0"/>
    <w:rsid w:val="00862DEB"/>
    <w:rsid w:val="00862E43"/>
    <w:rsid w:val="00862E8C"/>
    <w:rsid w:val="00863069"/>
    <w:rsid w:val="0086369C"/>
    <w:rsid w:val="00863E27"/>
    <w:rsid w:val="00864152"/>
    <w:rsid w:val="00864218"/>
    <w:rsid w:val="00864222"/>
    <w:rsid w:val="00864343"/>
    <w:rsid w:val="008644CE"/>
    <w:rsid w:val="0086468F"/>
    <w:rsid w:val="0086574D"/>
    <w:rsid w:val="0086576D"/>
    <w:rsid w:val="008659DE"/>
    <w:rsid w:val="0086612F"/>
    <w:rsid w:val="00866229"/>
    <w:rsid w:val="0086670E"/>
    <w:rsid w:val="0086678D"/>
    <w:rsid w:val="008668F5"/>
    <w:rsid w:val="00866E14"/>
    <w:rsid w:val="00866FB9"/>
    <w:rsid w:val="008671FA"/>
    <w:rsid w:val="00867361"/>
    <w:rsid w:val="008673B5"/>
    <w:rsid w:val="00867469"/>
    <w:rsid w:val="00867590"/>
    <w:rsid w:val="00867621"/>
    <w:rsid w:val="00867B48"/>
    <w:rsid w:val="00867D46"/>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47E"/>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9BF"/>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0B6"/>
    <w:rsid w:val="008A5464"/>
    <w:rsid w:val="008A59CA"/>
    <w:rsid w:val="008A5F4B"/>
    <w:rsid w:val="008A60D5"/>
    <w:rsid w:val="008A6336"/>
    <w:rsid w:val="008A676F"/>
    <w:rsid w:val="008A69CF"/>
    <w:rsid w:val="008A70A9"/>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39C"/>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501"/>
    <w:rsid w:val="008E57D5"/>
    <w:rsid w:val="008E58AB"/>
    <w:rsid w:val="008E5B8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4B0"/>
    <w:rsid w:val="008F76CD"/>
    <w:rsid w:val="00900484"/>
    <w:rsid w:val="00900E2B"/>
    <w:rsid w:val="00900F31"/>
    <w:rsid w:val="0090108B"/>
    <w:rsid w:val="00901221"/>
    <w:rsid w:val="00901517"/>
    <w:rsid w:val="009016AB"/>
    <w:rsid w:val="009016FF"/>
    <w:rsid w:val="00901B5C"/>
    <w:rsid w:val="00901CEB"/>
    <w:rsid w:val="00901D77"/>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0D"/>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920"/>
    <w:rsid w:val="00914BB7"/>
    <w:rsid w:val="00914E0B"/>
    <w:rsid w:val="00915049"/>
    <w:rsid w:val="009154F4"/>
    <w:rsid w:val="00915AD0"/>
    <w:rsid w:val="00916242"/>
    <w:rsid w:val="00916367"/>
    <w:rsid w:val="00916569"/>
    <w:rsid w:val="00916793"/>
    <w:rsid w:val="009167CA"/>
    <w:rsid w:val="009167E3"/>
    <w:rsid w:val="00916B2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89B"/>
    <w:rsid w:val="00921A7B"/>
    <w:rsid w:val="00921B8A"/>
    <w:rsid w:val="00921DDE"/>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653"/>
    <w:rsid w:val="00933937"/>
    <w:rsid w:val="00933F76"/>
    <w:rsid w:val="009344EC"/>
    <w:rsid w:val="009348B5"/>
    <w:rsid w:val="009349AA"/>
    <w:rsid w:val="00934CB2"/>
    <w:rsid w:val="00934FAB"/>
    <w:rsid w:val="0093545F"/>
    <w:rsid w:val="0093546F"/>
    <w:rsid w:val="00935587"/>
    <w:rsid w:val="009357DE"/>
    <w:rsid w:val="00935A9B"/>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8D6"/>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07A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427"/>
    <w:rsid w:val="00984985"/>
    <w:rsid w:val="00984BD2"/>
    <w:rsid w:val="00984F28"/>
    <w:rsid w:val="0098532F"/>
    <w:rsid w:val="00985AD5"/>
    <w:rsid w:val="00986400"/>
    <w:rsid w:val="009866D1"/>
    <w:rsid w:val="00986D66"/>
    <w:rsid w:val="00986F28"/>
    <w:rsid w:val="00987115"/>
    <w:rsid w:val="00987189"/>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C3C"/>
    <w:rsid w:val="009A5EFE"/>
    <w:rsid w:val="009A6DD5"/>
    <w:rsid w:val="009A6F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2317"/>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AAF"/>
    <w:rsid w:val="009D2B2F"/>
    <w:rsid w:val="009D2CE0"/>
    <w:rsid w:val="009D2CE7"/>
    <w:rsid w:val="009D30AD"/>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714"/>
    <w:rsid w:val="009D6E8F"/>
    <w:rsid w:val="009D6EAB"/>
    <w:rsid w:val="009D6EF7"/>
    <w:rsid w:val="009D713C"/>
    <w:rsid w:val="009D7311"/>
    <w:rsid w:val="009D7823"/>
    <w:rsid w:val="009D7CAA"/>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1F8A"/>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A5"/>
    <w:rsid w:val="00A01A47"/>
    <w:rsid w:val="00A01F36"/>
    <w:rsid w:val="00A02387"/>
    <w:rsid w:val="00A024A5"/>
    <w:rsid w:val="00A027F5"/>
    <w:rsid w:val="00A02A9F"/>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07FD1"/>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BE6"/>
    <w:rsid w:val="00A14CF0"/>
    <w:rsid w:val="00A14EC9"/>
    <w:rsid w:val="00A14F6B"/>
    <w:rsid w:val="00A153CA"/>
    <w:rsid w:val="00A15771"/>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D1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4F2"/>
    <w:rsid w:val="00A32554"/>
    <w:rsid w:val="00A3261C"/>
    <w:rsid w:val="00A3288D"/>
    <w:rsid w:val="00A32DCB"/>
    <w:rsid w:val="00A3334E"/>
    <w:rsid w:val="00A33449"/>
    <w:rsid w:val="00A33525"/>
    <w:rsid w:val="00A336CD"/>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1BDC"/>
    <w:rsid w:val="00A4241E"/>
    <w:rsid w:val="00A4271E"/>
    <w:rsid w:val="00A4281D"/>
    <w:rsid w:val="00A42B38"/>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1EE"/>
    <w:rsid w:val="00A602B0"/>
    <w:rsid w:val="00A6061B"/>
    <w:rsid w:val="00A608A0"/>
    <w:rsid w:val="00A608DB"/>
    <w:rsid w:val="00A60CA6"/>
    <w:rsid w:val="00A60DAB"/>
    <w:rsid w:val="00A6191E"/>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5E38"/>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DA1"/>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D9E"/>
    <w:rsid w:val="00A81317"/>
    <w:rsid w:val="00A81AB7"/>
    <w:rsid w:val="00A81E8A"/>
    <w:rsid w:val="00A82022"/>
    <w:rsid w:val="00A820F2"/>
    <w:rsid w:val="00A82105"/>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36"/>
    <w:rsid w:val="00AA25F8"/>
    <w:rsid w:val="00AA2814"/>
    <w:rsid w:val="00AA284B"/>
    <w:rsid w:val="00AA2EF6"/>
    <w:rsid w:val="00AA2F73"/>
    <w:rsid w:val="00AA3084"/>
    <w:rsid w:val="00AA3114"/>
    <w:rsid w:val="00AA31F1"/>
    <w:rsid w:val="00AA38BD"/>
    <w:rsid w:val="00AA39BF"/>
    <w:rsid w:val="00AA3AC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9EA"/>
    <w:rsid w:val="00AB7A1B"/>
    <w:rsid w:val="00AB7A97"/>
    <w:rsid w:val="00AB7CA6"/>
    <w:rsid w:val="00AC0174"/>
    <w:rsid w:val="00AC05C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335"/>
    <w:rsid w:val="00AC77DD"/>
    <w:rsid w:val="00AC7901"/>
    <w:rsid w:val="00AC7AA0"/>
    <w:rsid w:val="00AC7B3F"/>
    <w:rsid w:val="00AD0278"/>
    <w:rsid w:val="00AD0315"/>
    <w:rsid w:val="00AD032F"/>
    <w:rsid w:val="00AD0432"/>
    <w:rsid w:val="00AD0541"/>
    <w:rsid w:val="00AD05F7"/>
    <w:rsid w:val="00AD0A4E"/>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80E"/>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4FD"/>
    <w:rsid w:val="00AE7A70"/>
    <w:rsid w:val="00AE7C5A"/>
    <w:rsid w:val="00AF01B5"/>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7F4"/>
    <w:rsid w:val="00B07C5A"/>
    <w:rsid w:val="00B07DC9"/>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087"/>
    <w:rsid w:val="00B1537B"/>
    <w:rsid w:val="00B155D4"/>
    <w:rsid w:val="00B156AD"/>
    <w:rsid w:val="00B15B1E"/>
    <w:rsid w:val="00B16124"/>
    <w:rsid w:val="00B1635C"/>
    <w:rsid w:val="00B16BAF"/>
    <w:rsid w:val="00B16CD2"/>
    <w:rsid w:val="00B16F40"/>
    <w:rsid w:val="00B17462"/>
    <w:rsid w:val="00B17D34"/>
    <w:rsid w:val="00B17D38"/>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430"/>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70E"/>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EB"/>
    <w:rsid w:val="00B37063"/>
    <w:rsid w:val="00B371CF"/>
    <w:rsid w:val="00B37389"/>
    <w:rsid w:val="00B375AE"/>
    <w:rsid w:val="00B375C0"/>
    <w:rsid w:val="00B37732"/>
    <w:rsid w:val="00B37800"/>
    <w:rsid w:val="00B37FF2"/>
    <w:rsid w:val="00B40617"/>
    <w:rsid w:val="00B406BB"/>
    <w:rsid w:val="00B409A5"/>
    <w:rsid w:val="00B411E1"/>
    <w:rsid w:val="00B412F7"/>
    <w:rsid w:val="00B414DB"/>
    <w:rsid w:val="00B417B8"/>
    <w:rsid w:val="00B418EC"/>
    <w:rsid w:val="00B41B2F"/>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50404"/>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0A5"/>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580"/>
    <w:rsid w:val="00B57AAC"/>
    <w:rsid w:val="00B57C2F"/>
    <w:rsid w:val="00B60412"/>
    <w:rsid w:val="00B604FB"/>
    <w:rsid w:val="00B606A0"/>
    <w:rsid w:val="00B6072E"/>
    <w:rsid w:val="00B60874"/>
    <w:rsid w:val="00B60EF3"/>
    <w:rsid w:val="00B60F8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76"/>
    <w:rsid w:val="00B64EB7"/>
    <w:rsid w:val="00B65325"/>
    <w:rsid w:val="00B6543F"/>
    <w:rsid w:val="00B6569C"/>
    <w:rsid w:val="00B657ED"/>
    <w:rsid w:val="00B658E7"/>
    <w:rsid w:val="00B6593E"/>
    <w:rsid w:val="00B65BEC"/>
    <w:rsid w:val="00B65E3E"/>
    <w:rsid w:val="00B6611E"/>
    <w:rsid w:val="00B66783"/>
    <w:rsid w:val="00B66E44"/>
    <w:rsid w:val="00B67017"/>
    <w:rsid w:val="00B6765A"/>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36"/>
    <w:rsid w:val="00B7435D"/>
    <w:rsid w:val="00B747D2"/>
    <w:rsid w:val="00B749F2"/>
    <w:rsid w:val="00B74B2C"/>
    <w:rsid w:val="00B74C14"/>
    <w:rsid w:val="00B74C33"/>
    <w:rsid w:val="00B74DBB"/>
    <w:rsid w:val="00B755C8"/>
    <w:rsid w:val="00B75B62"/>
    <w:rsid w:val="00B75D42"/>
    <w:rsid w:val="00B76612"/>
    <w:rsid w:val="00B7686D"/>
    <w:rsid w:val="00B76EAA"/>
    <w:rsid w:val="00B76F9D"/>
    <w:rsid w:val="00B80065"/>
    <w:rsid w:val="00B804F1"/>
    <w:rsid w:val="00B80618"/>
    <w:rsid w:val="00B80641"/>
    <w:rsid w:val="00B80824"/>
    <w:rsid w:val="00B80EA2"/>
    <w:rsid w:val="00B816B5"/>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780"/>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85E"/>
    <w:rsid w:val="00BA2C2B"/>
    <w:rsid w:val="00BA310C"/>
    <w:rsid w:val="00BA363E"/>
    <w:rsid w:val="00BA4331"/>
    <w:rsid w:val="00BA4483"/>
    <w:rsid w:val="00BA4489"/>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B9A"/>
    <w:rsid w:val="00BA6CC6"/>
    <w:rsid w:val="00BA6DBF"/>
    <w:rsid w:val="00BA70C5"/>
    <w:rsid w:val="00BA71DF"/>
    <w:rsid w:val="00BA7218"/>
    <w:rsid w:val="00BA759F"/>
    <w:rsid w:val="00BA77AB"/>
    <w:rsid w:val="00BA77AC"/>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5F45"/>
    <w:rsid w:val="00BB628C"/>
    <w:rsid w:val="00BB62A3"/>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3"/>
    <w:rsid w:val="00BD4BFD"/>
    <w:rsid w:val="00BD4BFF"/>
    <w:rsid w:val="00BD512F"/>
    <w:rsid w:val="00BD542E"/>
    <w:rsid w:val="00BD5431"/>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2E2"/>
    <w:rsid w:val="00BE144D"/>
    <w:rsid w:val="00BE1A6D"/>
    <w:rsid w:val="00BE1ABC"/>
    <w:rsid w:val="00BE1C00"/>
    <w:rsid w:val="00BE1F63"/>
    <w:rsid w:val="00BE20A2"/>
    <w:rsid w:val="00BE2320"/>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A19"/>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D50"/>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11B1"/>
    <w:rsid w:val="00C120EB"/>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8D4"/>
    <w:rsid w:val="00C16AF9"/>
    <w:rsid w:val="00C176A0"/>
    <w:rsid w:val="00C179BE"/>
    <w:rsid w:val="00C17BC1"/>
    <w:rsid w:val="00C17C03"/>
    <w:rsid w:val="00C20195"/>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181"/>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1A"/>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2D"/>
    <w:rsid w:val="00C40448"/>
    <w:rsid w:val="00C405C9"/>
    <w:rsid w:val="00C405DB"/>
    <w:rsid w:val="00C4067B"/>
    <w:rsid w:val="00C4083F"/>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955"/>
    <w:rsid w:val="00C75A57"/>
    <w:rsid w:val="00C75B53"/>
    <w:rsid w:val="00C7611C"/>
    <w:rsid w:val="00C76245"/>
    <w:rsid w:val="00C762A8"/>
    <w:rsid w:val="00C7631A"/>
    <w:rsid w:val="00C765C7"/>
    <w:rsid w:val="00C76946"/>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5E5"/>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4CE8"/>
    <w:rsid w:val="00C951DB"/>
    <w:rsid w:val="00C95205"/>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5F"/>
    <w:rsid w:val="00CA4CE1"/>
    <w:rsid w:val="00CA4D94"/>
    <w:rsid w:val="00CA5123"/>
    <w:rsid w:val="00CA5471"/>
    <w:rsid w:val="00CA55CA"/>
    <w:rsid w:val="00CA5952"/>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17"/>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6F5E"/>
    <w:rsid w:val="00CB70C5"/>
    <w:rsid w:val="00CB71B4"/>
    <w:rsid w:val="00CB76CF"/>
    <w:rsid w:val="00CB7CC4"/>
    <w:rsid w:val="00CC027F"/>
    <w:rsid w:val="00CC037C"/>
    <w:rsid w:val="00CC0731"/>
    <w:rsid w:val="00CC080C"/>
    <w:rsid w:val="00CC10BF"/>
    <w:rsid w:val="00CC1551"/>
    <w:rsid w:val="00CC166B"/>
    <w:rsid w:val="00CC1AE3"/>
    <w:rsid w:val="00CC1DD4"/>
    <w:rsid w:val="00CC200E"/>
    <w:rsid w:val="00CC231D"/>
    <w:rsid w:val="00CC240C"/>
    <w:rsid w:val="00CC297D"/>
    <w:rsid w:val="00CC2A7D"/>
    <w:rsid w:val="00CC2BD0"/>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6A0"/>
    <w:rsid w:val="00CC6A63"/>
    <w:rsid w:val="00CC6D0C"/>
    <w:rsid w:val="00CC717A"/>
    <w:rsid w:val="00CC7362"/>
    <w:rsid w:val="00CC7610"/>
    <w:rsid w:val="00CC76AF"/>
    <w:rsid w:val="00CC7795"/>
    <w:rsid w:val="00CC7818"/>
    <w:rsid w:val="00CC7A29"/>
    <w:rsid w:val="00CC7D32"/>
    <w:rsid w:val="00CC7FF8"/>
    <w:rsid w:val="00CD0293"/>
    <w:rsid w:val="00CD05EB"/>
    <w:rsid w:val="00CD069E"/>
    <w:rsid w:val="00CD073A"/>
    <w:rsid w:val="00CD08AC"/>
    <w:rsid w:val="00CD08D6"/>
    <w:rsid w:val="00CD0923"/>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40"/>
    <w:rsid w:val="00D010D1"/>
    <w:rsid w:val="00D0111D"/>
    <w:rsid w:val="00D01A12"/>
    <w:rsid w:val="00D0200C"/>
    <w:rsid w:val="00D0257D"/>
    <w:rsid w:val="00D0382F"/>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597C"/>
    <w:rsid w:val="00D26345"/>
    <w:rsid w:val="00D264A3"/>
    <w:rsid w:val="00D2659B"/>
    <w:rsid w:val="00D265A1"/>
    <w:rsid w:val="00D26664"/>
    <w:rsid w:val="00D267C2"/>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3CA3"/>
    <w:rsid w:val="00D33DB2"/>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2CC"/>
    <w:rsid w:val="00D46703"/>
    <w:rsid w:val="00D4674B"/>
    <w:rsid w:val="00D467EB"/>
    <w:rsid w:val="00D46BE4"/>
    <w:rsid w:val="00D4714A"/>
    <w:rsid w:val="00D476C9"/>
    <w:rsid w:val="00D476CD"/>
    <w:rsid w:val="00D4794A"/>
    <w:rsid w:val="00D50941"/>
    <w:rsid w:val="00D50A30"/>
    <w:rsid w:val="00D50E4F"/>
    <w:rsid w:val="00D51295"/>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70C"/>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5E1"/>
    <w:rsid w:val="00D6177E"/>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4F77"/>
    <w:rsid w:val="00D652AE"/>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75E"/>
    <w:rsid w:val="00D82A6F"/>
    <w:rsid w:val="00D82EAE"/>
    <w:rsid w:val="00D83177"/>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564"/>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97F51"/>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18"/>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5"/>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36D8"/>
    <w:rsid w:val="00DC4A00"/>
    <w:rsid w:val="00DC5663"/>
    <w:rsid w:val="00DC5854"/>
    <w:rsid w:val="00DC5E26"/>
    <w:rsid w:val="00DC6395"/>
    <w:rsid w:val="00DC63AC"/>
    <w:rsid w:val="00DC676A"/>
    <w:rsid w:val="00DC6B5D"/>
    <w:rsid w:val="00DC6D69"/>
    <w:rsid w:val="00DC6E19"/>
    <w:rsid w:val="00DC74D5"/>
    <w:rsid w:val="00DC778F"/>
    <w:rsid w:val="00DC790F"/>
    <w:rsid w:val="00DC7A18"/>
    <w:rsid w:val="00DD101E"/>
    <w:rsid w:val="00DD111B"/>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318"/>
    <w:rsid w:val="00DD6806"/>
    <w:rsid w:val="00DD69F4"/>
    <w:rsid w:val="00DD6A6E"/>
    <w:rsid w:val="00DD6CDB"/>
    <w:rsid w:val="00DD6DE1"/>
    <w:rsid w:val="00DD7104"/>
    <w:rsid w:val="00DD725B"/>
    <w:rsid w:val="00DD7361"/>
    <w:rsid w:val="00DD74D5"/>
    <w:rsid w:val="00DD7A5E"/>
    <w:rsid w:val="00DD7AE0"/>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40D"/>
    <w:rsid w:val="00DF241D"/>
    <w:rsid w:val="00DF24C6"/>
    <w:rsid w:val="00DF272E"/>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C46"/>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8EE"/>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4396"/>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0F59"/>
    <w:rsid w:val="00E2180E"/>
    <w:rsid w:val="00E21E20"/>
    <w:rsid w:val="00E21E71"/>
    <w:rsid w:val="00E2242A"/>
    <w:rsid w:val="00E228CF"/>
    <w:rsid w:val="00E22BF9"/>
    <w:rsid w:val="00E23385"/>
    <w:rsid w:val="00E238DD"/>
    <w:rsid w:val="00E23C6C"/>
    <w:rsid w:val="00E2452A"/>
    <w:rsid w:val="00E24574"/>
    <w:rsid w:val="00E24A3C"/>
    <w:rsid w:val="00E24AB8"/>
    <w:rsid w:val="00E24F66"/>
    <w:rsid w:val="00E24FC0"/>
    <w:rsid w:val="00E256A8"/>
    <w:rsid w:val="00E25978"/>
    <w:rsid w:val="00E25D05"/>
    <w:rsid w:val="00E25DFD"/>
    <w:rsid w:val="00E25E31"/>
    <w:rsid w:val="00E26202"/>
    <w:rsid w:val="00E264DD"/>
    <w:rsid w:val="00E26758"/>
    <w:rsid w:val="00E26EEE"/>
    <w:rsid w:val="00E27294"/>
    <w:rsid w:val="00E27465"/>
    <w:rsid w:val="00E27541"/>
    <w:rsid w:val="00E27B11"/>
    <w:rsid w:val="00E3001D"/>
    <w:rsid w:val="00E30746"/>
    <w:rsid w:val="00E3086D"/>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97A"/>
    <w:rsid w:val="00E41E33"/>
    <w:rsid w:val="00E4224F"/>
    <w:rsid w:val="00E42433"/>
    <w:rsid w:val="00E42865"/>
    <w:rsid w:val="00E42943"/>
    <w:rsid w:val="00E42CA8"/>
    <w:rsid w:val="00E42E17"/>
    <w:rsid w:val="00E42E1F"/>
    <w:rsid w:val="00E433DD"/>
    <w:rsid w:val="00E4381E"/>
    <w:rsid w:val="00E43A53"/>
    <w:rsid w:val="00E43AD7"/>
    <w:rsid w:val="00E43BCF"/>
    <w:rsid w:val="00E43EB4"/>
    <w:rsid w:val="00E44298"/>
    <w:rsid w:val="00E44391"/>
    <w:rsid w:val="00E444EA"/>
    <w:rsid w:val="00E44506"/>
    <w:rsid w:val="00E44542"/>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5EB"/>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2A7C"/>
    <w:rsid w:val="00E63435"/>
    <w:rsid w:val="00E63450"/>
    <w:rsid w:val="00E63584"/>
    <w:rsid w:val="00E636E8"/>
    <w:rsid w:val="00E63727"/>
    <w:rsid w:val="00E63D5D"/>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57F"/>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0E61"/>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3D"/>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8F"/>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0E2"/>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995"/>
    <w:rsid w:val="00EB6B0B"/>
    <w:rsid w:val="00EB6D5B"/>
    <w:rsid w:val="00EB71C5"/>
    <w:rsid w:val="00EB71E3"/>
    <w:rsid w:val="00EB7B99"/>
    <w:rsid w:val="00EB7BF0"/>
    <w:rsid w:val="00EB7CD4"/>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0F64"/>
    <w:rsid w:val="00F01171"/>
    <w:rsid w:val="00F0156D"/>
    <w:rsid w:val="00F01723"/>
    <w:rsid w:val="00F017E4"/>
    <w:rsid w:val="00F0198E"/>
    <w:rsid w:val="00F01AB9"/>
    <w:rsid w:val="00F01C56"/>
    <w:rsid w:val="00F01E46"/>
    <w:rsid w:val="00F01E7F"/>
    <w:rsid w:val="00F022EE"/>
    <w:rsid w:val="00F02402"/>
    <w:rsid w:val="00F02A2D"/>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7E60"/>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452"/>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9DC"/>
    <w:rsid w:val="00F33BA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24F"/>
    <w:rsid w:val="00F40635"/>
    <w:rsid w:val="00F407B7"/>
    <w:rsid w:val="00F409BA"/>
    <w:rsid w:val="00F40CA7"/>
    <w:rsid w:val="00F40E1C"/>
    <w:rsid w:val="00F40E3B"/>
    <w:rsid w:val="00F411F4"/>
    <w:rsid w:val="00F41463"/>
    <w:rsid w:val="00F415BB"/>
    <w:rsid w:val="00F41785"/>
    <w:rsid w:val="00F41C83"/>
    <w:rsid w:val="00F41E57"/>
    <w:rsid w:val="00F41F7C"/>
    <w:rsid w:val="00F4202D"/>
    <w:rsid w:val="00F42033"/>
    <w:rsid w:val="00F42258"/>
    <w:rsid w:val="00F4255D"/>
    <w:rsid w:val="00F425D4"/>
    <w:rsid w:val="00F429EA"/>
    <w:rsid w:val="00F42B46"/>
    <w:rsid w:val="00F42F86"/>
    <w:rsid w:val="00F43ADB"/>
    <w:rsid w:val="00F43F4F"/>
    <w:rsid w:val="00F4438D"/>
    <w:rsid w:val="00F446DC"/>
    <w:rsid w:val="00F44746"/>
    <w:rsid w:val="00F44911"/>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2C6B"/>
    <w:rsid w:val="00F53334"/>
    <w:rsid w:val="00F53366"/>
    <w:rsid w:val="00F5386C"/>
    <w:rsid w:val="00F53EF6"/>
    <w:rsid w:val="00F540FD"/>
    <w:rsid w:val="00F54339"/>
    <w:rsid w:val="00F543D7"/>
    <w:rsid w:val="00F543F9"/>
    <w:rsid w:val="00F546F6"/>
    <w:rsid w:val="00F54744"/>
    <w:rsid w:val="00F54994"/>
    <w:rsid w:val="00F54BA1"/>
    <w:rsid w:val="00F54C17"/>
    <w:rsid w:val="00F54E4B"/>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548"/>
    <w:rsid w:val="00F6557A"/>
    <w:rsid w:val="00F65821"/>
    <w:rsid w:val="00F666A9"/>
    <w:rsid w:val="00F66BD6"/>
    <w:rsid w:val="00F66DDC"/>
    <w:rsid w:val="00F66F8F"/>
    <w:rsid w:val="00F67131"/>
    <w:rsid w:val="00F67164"/>
    <w:rsid w:val="00F672F4"/>
    <w:rsid w:val="00F67627"/>
    <w:rsid w:val="00F677E2"/>
    <w:rsid w:val="00F67CC9"/>
    <w:rsid w:val="00F71732"/>
    <w:rsid w:val="00F71891"/>
    <w:rsid w:val="00F729D8"/>
    <w:rsid w:val="00F72BFC"/>
    <w:rsid w:val="00F73191"/>
    <w:rsid w:val="00F73271"/>
    <w:rsid w:val="00F73A8C"/>
    <w:rsid w:val="00F73B67"/>
    <w:rsid w:val="00F73DC6"/>
    <w:rsid w:val="00F742A4"/>
    <w:rsid w:val="00F74652"/>
    <w:rsid w:val="00F74AC6"/>
    <w:rsid w:val="00F74C70"/>
    <w:rsid w:val="00F74CE1"/>
    <w:rsid w:val="00F74D0B"/>
    <w:rsid w:val="00F74E21"/>
    <w:rsid w:val="00F74FB8"/>
    <w:rsid w:val="00F750F8"/>
    <w:rsid w:val="00F75112"/>
    <w:rsid w:val="00F752A5"/>
    <w:rsid w:val="00F75486"/>
    <w:rsid w:val="00F754AB"/>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1BFD"/>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48E3"/>
    <w:rsid w:val="00FA49A1"/>
    <w:rsid w:val="00FA4B01"/>
    <w:rsid w:val="00FA4E50"/>
    <w:rsid w:val="00FA5581"/>
    <w:rsid w:val="00FA565E"/>
    <w:rsid w:val="00FA5773"/>
    <w:rsid w:val="00FA5826"/>
    <w:rsid w:val="00FA59D9"/>
    <w:rsid w:val="00FA60C0"/>
    <w:rsid w:val="00FA62C0"/>
    <w:rsid w:val="00FA65BF"/>
    <w:rsid w:val="00FA6BA9"/>
    <w:rsid w:val="00FA6C40"/>
    <w:rsid w:val="00FA7356"/>
    <w:rsid w:val="00FA743D"/>
    <w:rsid w:val="00FA7DE2"/>
    <w:rsid w:val="00FB00ED"/>
    <w:rsid w:val="00FB00EE"/>
    <w:rsid w:val="00FB01FD"/>
    <w:rsid w:val="00FB12A5"/>
    <w:rsid w:val="00FB12C4"/>
    <w:rsid w:val="00FB19B3"/>
    <w:rsid w:val="00FB19EC"/>
    <w:rsid w:val="00FB1A26"/>
    <w:rsid w:val="00FB1A93"/>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628"/>
    <w:rsid w:val="00FB789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CF8"/>
    <w:rsid w:val="00FC7DE1"/>
    <w:rsid w:val="00FD0191"/>
    <w:rsid w:val="00FD01D9"/>
    <w:rsid w:val="00FD0813"/>
    <w:rsid w:val="00FD15CB"/>
    <w:rsid w:val="00FD16FE"/>
    <w:rsid w:val="00FD1895"/>
    <w:rsid w:val="00FD232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66EF6E4"/>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8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58863452">
      <w:bodyDiv w:val="1"/>
      <w:marLeft w:val="0"/>
      <w:marRight w:val="0"/>
      <w:marTop w:val="0"/>
      <w:marBottom w:val="0"/>
      <w:divBdr>
        <w:top w:val="none" w:sz="0" w:space="0" w:color="auto"/>
        <w:left w:val="none" w:sz="0" w:space="0" w:color="auto"/>
        <w:bottom w:val="none" w:sz="0" w:space="0" w:color="auto"/>
        <w:right w:val="none" w:sz="0" w:space="0" w:color="auto"/>
      </w:divBdr>
      <w:divsChild>
        <w:div w:id="1205213392">
          <w:marLeft w:val="562"/>
          <w:marRight w:val="0"/>
          <w:marTop w:val="60"/>
          <w:marBottom w:val="0"/>
          <w:divBdr>
            <w:top w:val="none" w:sz="0" w:space="0" w:color="auto"/>
            <w:left w:val="none" w:sz="0" w:space="0" w:color="auto"/>
            <w:bottom w:val="none" w:sz="0" w:space="0" w:color="auto"/>
            <w:right w:val="none" w:sz="0" w:space="0" w:color="auto"/>
          </w:divBdr>
        </w:div>
      </w:divsChild>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1463173">
      <w:bodyDiv w:val="1"/>
      <w:marLeft w:val="0"/>
      <w:marRight w:val="0"/>
      <w:marTop w:val="0"/>
      <w:marBottom w:val="0"/>
      <w:divBdr>
        <w:top w:val="none" w:sz="0" w:space="0" w:color="auto"/>
        <w:left w:val="none" w:sz="0" w:space="0" w:color="auto"/>
        <w:bottom w:val="none" w:sz="0" w:space="0" w:color="auto"/>
        <w:right w:val="none" w:sz="0" w:space="0" w:color="auto"/>
      </w:divBdr>
    </w:div>
    <w:div w:id="118228613">
      <w:bodyDiv w:val="1"/>
      <w:marLeft w:val="0"/>
      <w:marRight w:val="0"/>
      <w:marTop w:val="0"/>
      <w:marBottom w:val="0"/>
      <w:divBdr>
        <w:top w:val="none" w:sz="0" w:space="0" w:color="auto"/>
        <w:left w:val="none" w:sz="0" w:space="0" w:color="auto"/>
        <w:bottom w:val="none" w:sz="0" w:space="0" w:color="auto"/>
        <w:right w:val="none" w:sz="0" w:space="0" w:color="auto"/>
      </w:divBdr>
      <w:divsChild>
        <w:div w:id="1380788263">
          <w:marLeft w:val="0"/>
          <w:marRight w:val="0"/>
          <w:marTop w:val="0"/>
          <w:marBottom w:val="0"/>
          <w:divBdr>
            <w:top w:val="none" w:sz="0" w:space="0" w:color="auto"/>
            <w:left w:val="none" w:sz="0" w:space="0" w:color="auto"/>
            <w:bottom w:val="none" w:sz="0" w:space="0" w:color="auto"/>
            <w:right w:val="none" w:sz="0" w:space="0" w:color="auto"/>
          </w:divBdr>
        </w:div>
      </w:divsChild>
    </w:div>
    <w:div w:id="138310457">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0121706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8654502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766084">
      <w:bodyDiv w:val="1"/>
      <w:marLeft w:val="0"/>
      <w:marRight w:val="0"/>
      <w:marTop w:val="0"/>
      <w:marBottom w:val="0"/>
      <w:divBdr>
        <w:top w:val="none" w:sz="0" w:space="0" w:color="auto"/>
        <w:left w:val="none" w:sz="0" w:space="0" w:color="auto"/>
        <w:bottom w:val="none" w:sz="0" w:space="0" w:color="auto"/>
        <w:right w:val="none" w:sz="0" w:space="0" w:color="auto"/>
      </w:divBdr>
    </w:div>
    <w:div w:id="38668557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4640536">
      <w:bodyDiv w:val="1"/>
      <w:marLeft w:val="0"/>
      <w:marRight w:val="0"/>
      <w:marTop w:val="0"/>
      <w:marBottom w:val="0"/>
      <w:divBdr>
        <w:top w:val="none" w:sz="0" w:space="0" w:color="auto"/>
        <w:left w:val="none" w:sz="0" w:space="0" w:color="auto"/>
        <w:bottom w:val="none" w:sz="0" w:space="0" w:color="auto"/>
        <w:right w:val="none" w:sz="0" w:space="0" w:color="auto"/>
      </w:divBdr>
      <w:divsChild>
        <w:div w:id="1920367105">
          <w:marLeft w:val="274"/>
          <w:marRight w:val="0"/>
          <w:marTop w:val="120"/>
          <w:marBottom w:val="0"/>
          <w:divBdr>
            <w:top w:val="none" w:sz="0" w:space="0" w:color="auto"/>
            <w:left w:val="none" w:sz="0" w:space="0" w:color="auto"/>
            <w:bottom w:val="none" w:sz="0" w:space="0" w:color="auto"/>
            <w:right w:val="none" w:sz="0" w:space="0" w:color="auto"/>
          </w:divBdr>
        </w:div>
      </w:divsChild>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292193">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229011">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9821993">
      <w:bodyDiv w:val="1"/>
      <w:marLeft w:val="0"/>
      <w:marRight w:val="0"/>
      <w:marTop w:val="0"/>
      <w:marBottom w:val="0"/>
      <w:divBdr>
        <w:top w:val="none" w:sz="0" w:space="0" w:color="auto"/>
        <w:left w:val="none" w:sz="0" w:space="0" w:color="auto"/>
        <w:bottom w:val="none" w:sz="0" w:space="0" w:color="auto"/>
        <w:right w:val="none" w:sz="0" w:space="0" w:color="auto"/>
      </w:divBdr>
      <w:divsChild>
        <w:div w:id="475874820">
          <w:marLeft w:val="562"/>
          <w:marRight w:val="0"/>
          <w:marTop w:val="60"/>
          <w:marBottom w:val="0"/>
          <w:divBdr>
            <w:top w:val="none" w:sz="0" w:space="0" w:color="auto"/>
            <w:left w:val="none" w:sz="0" w:space="0" w:color="auto"/>
            <w:bottom w:val="none" w:sz="0" w:space="0" w:color="auto"/>
            <w:right w:val="none" w:sz="0" w:space="0" w:color="auto"/>
          </w:divBdr>
        </w:div>
      </w:divsChild>
    </w:div>
    <w:div w:id="88063346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9101041">
      <w:bodyDiv w:val="1"/>
      <w:marLeft w:val="0"/>
      <w:marRight w:val="0"/>
      <w:marTop w:val="0"/>
      <w:marBottom w:val="0"/>
      <w:divBdr>
        <w:top w:val="none" w:sz="0" w:space="0" w:color="auto"/>
        <w:left w:val="none" w:sz="0" w:space="0" w:color="auto"/>
        <w:bottom w:val="none" w:sz="0" w:space="0" w:color="auto"/>
        <w:right w:val="none" w:sz="0" w:space="0" w:color="auto"/>
      </w:divBdr>
    </w:div>
    <w:div w:id="96693150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99464804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5849544">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7550440">
      <w:bodyDiv w:val="1"/>
      <w:marLeft w:val="0"/>
      <w:marRight w:val="0"/>
      <w:marTop w:val="0"/>
      <w:marBottom w:val="0"/>
      <w:divBdr>
        <w:top w:val="none" w:sz="0" w:space="0" w:color="auto"/>
        <w:left w:val="none" w:sz="0" w:space="0" w:color="auto"/>
        <w:bottom w:val="none" w:sz="0" w:space="0" w:color="auto"/>
        <w:right w:val="none" w:sz="0" w:space="0" w:color="auto"/>
      </w:divBdr>
      <w:divsChild>
        <w:div w:id="1436831097">
          <w:marLeft w:val="274"/>
          <w:marRight w:val="0"/>
          <w:marTop w:val="120"/>
          <w:marBottom w:val="0"/>
          <w:divBdr>
            <w:top w:val="none" w:sz="0" w:space="0" w:color="auto"/>
            <w:left w:val="none" w:sz="0" w:space="0" w:color="auto"/>
            <w:bottom w:val="none" w:sz="0" w:space="0" w:color="auto"/>
            <w:right w:val="none" w:sz="0" w:space="0" w:color="auto"/>
          </w:divBdr>
        </w:div>
      </w:divsChild>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48463346">
      <w:bodyDiv w:val="1"/>
      <w:marLeft w:val="0"/>
      <w:marRight w:val="0"/>
      <w:marTop w:val="0"/>
      <w:marBottom w:val="0"/>
      <w:divBdr>
        <w:top w:val="none" w:sz="0" w:space="0" w:color="auto"/>
        <w:left w:val="none" w:sz="0" w:space="0" w:color="auto"/>
        <w:bottom w:val="none" w:sz="0" w:space="0" w:color="auto"/>
        <w:right w:val="none" w:sz="0" w:space="0" w:color="auto"/>
      </w:divBdr>
    </w:div>
    <w:div w:id="1259413342">
      <w:bodyDiv w:val="1"/>
      <w:marLeft w:val="0"/>
      <w:marRight w:val="0"/>
      <w:marTop w:val="0"/>
      <w:marBottom w:val="0"/>
      <w:divBdr>
        <w:top w:val="none" w:sz="0" w:space="0" w:color="auto"/>
        <w:left w:val="none" w:sz="0" w:space="0" w:color="auto"/>
        <w:bottom w:val="none" w:sz="0" w:space="0" w:color="auto"/>
        <w:right w:val="none" w:sz="0" w:space="0" w:color="auto"/>
      </w:divBdr>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9186318">
      <w:bodyDiv w:val="1"/>
      <w:marLeft w:val="0"/>
      <w:marRight w:val="0"/>
      <w:marTop w:val="0"/>
      <w:marBottom w:val="0"/>
      <w:divBdr>
        <w:top w:val="none" w:sz="0" w:space="0" w:color="auto"/>
        <w:left w:val="none" w:sz="0" w:space="0" w:color="auto"/>
        <w:bottom w:val="none" w:sz="0" w:space="0" w:color="auto"/>
        <w:right w:val="none" w:sz="0" w:space="0" w:color="auto"/>
      </w:divBdr>
      <w:divsChild>
        <w:div w:id="645089464">
          <w:marLeft w:val="274"/>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0235381">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06743478">
      <w:bodyDiv w:val="1"/>
      <w:marLeft w:val="0"/>
      <w:marRight w:val="0"/>
      <w:marTop w:val="0"/>
      <w:marBottom w:val="0"/>
      <w:divBdr>
        <w:top w:val="none" w:sz="0" w:space="0" w:color="auto"/>
        <w:left w:val="none" w:sz="0" w:space="0" w:color="auto"/>
        <w:bottom w:val="none" w:sz="0" w:space="0" w:color="auto"/>
        <w:right w:val="none" w:sz="0" w:space="0" w:color="auto"/>
      </w:divBdr>
      <w:divsChild>
        <w:div w:id="1132675949">
          <w:marLeft w:val="562"/>
          <w:marRight w:val="0"/>
          <w:marTop w:val="6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770930">
      <w:bodyDiv w:val="1"/>
      <w:marLeft w:val="0"/>
      <w:marRight w:val="0"/>
      <w:marTop w:val="0"/>
      <w:marBottom w:val="0"/>
      <w:divBdr>
        <w:top w:val="none" w:sz="0" w:space="0" w:color="auto"/>
        <w:left w:val="none" w:sz="0" w:space="0" w:color="auto"/>
        <w:bottom w:val="none" w:sz="0" w:space="0" w:color="auto"/>
        <w:right w:val="none" w:sz="0" w:space="0" w:color="auto"/>
      </w:divBdr>
      <w:divsChild>
        <w:div w:id="848373655">
          <w:marLeft w:val="562"/>
          <w:marRight w:val="0"/>
          <w:marTop w:val="6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41854855">
      <w:bodyDiv w:val="1"/>
      <w:marLeft w:val="0"/>
      <w:marRight w:val="0"/>
      <w:marTop w:val="0"/>
      <w:marBottom w:val="0"/>
      <w:divBdr>
        <w:top w:val="none" w:sz="0" w:space="0" w:color="auto"/>
        <w:left w:val="none" w:sz="0" w:space="0" w:color="auto"/>
        <w:bottom w:val="none" w:sz="0" w:space="0" w:color="auto"/>
        <w:right w:val="none" w:sz="0" w:space="0" w:color="auto"/>
      </w:divBdr>
    </w:div>
    <w:div w:id="2050496703">
      <w:bodyDiv w:val="1"/>
      <w:marLeft w:val="0"/>
      <w:marRight w:val="0"/>
      <w:marTop w:val="0"/>
      <w:marBottom w:val="0"/>
      <w:divBdr>
        <w:top w:val="none" w:sz="0" w:space="0" w:color="auto"/>
        <w:left w:val="none" w:sz="0" w:space="0" w:color="auto"/>
        <w:bottom w:val="none" w:sz="0" w:space="0" w:color="auto"/>
        <w:right w:val="none" w:sz="0" w:space="0" w:color="auto"/>
      </w:divBdr>
      <w:divsChild>
        <w:div w:id="629014971">
          <w:marLeft w:val="562"/>
          <w:marRight w:val="0"/>
          <w:marTop w:val="60"/>
          <w:marBottom w:val="0"/>
          <w:divBdr>
            <w:top w:val="none" w:sz="0" w:space="0" w:color="auto"/>
            <w:left w:val="none" w:sz="0" w:space="0" w:color="auto"/>
            <w:bottom w:val="none" w:sz="0" w:space="0" w:color="auto"/>
            <w:right w:val="none" w:sz="0" w:space="0" w:color="auto"/>
          </w:divBdr>
        </w:div>
      </w:divsChild>
    </w:div>
    <w:div w:id="206644209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19" ma:contentTypeDescription="Create a new document." ma:contentTypeScope="" ma:versionID="aaef63813e6940e22681c14803cbd67a">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c212fa9f61283afc64644199aa794921"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53068-CDFD-4F7A-A497-DA05E578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ACE08-BAC8-413F-8998-8066E0DC0302}">
  <ds:schemaRefs>
    <ds:schemaRef ds:uri="http://schemas.openxmlformats.org/officeDocument/2006/bibliography"/>
  </ds:schemaRefs>
</ds:datastoreItem>
</file>

<file path=customXml/itemProps3.xml><?xml version="1.0" encoding="utf-8"?>
<ds:datastoreItem xmlns:ds="http://schemas.openxmlformats.org/officeDocument/2006/customXml" ds:itemID="{98694ACC-979A-47C0-95D5-CBBAF0571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61</TotalTime>
  <Pages>4</Pages>
  <Words>1340</Words>
  <Characters>7374</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EL KOLLI Yacine</cp:lastModifiedBy>
  <cp:revision>14</cp:revision>
  <cp:lastPrinted>2023-07-11T07:58:00Z</cp:lastPrinted>
  <dcterms:created xsi:type="dcterms:W3CDTF">2023-09-25T08:09:00Z</dcterms:created>
  <dcterms:modified xsi:type="dcterms:W3CDTF">2023-10-30T09:40:00Z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